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pageBreakBefore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</w:r>
      <w:r>
        <w:rPr>
          <w:rFonts w:ascii="PT Astra Serif" w:hAnsi="PT Astra Serif"/>
        </w:rPr>
        <w:br w:type="textWrapping" w:clear="all"/>
        <w:t xml:space="preserve">ТОМСКОЙ ОБЛАСТИ</w:t>
      </w:r>
      <w:r>
        <w:rPr>
          <w:rFonts w:ascii="PT Astra Serif" w:hAnsi="PT Astra Serif"/>
        </w:rPr>
        <w:br w:type="textWrapping" w:clear="all"/>
      </w:r>
      <w:r>
        <w:rPr>
          <w:rFonts w:ascii="PT Astra Serif" w:hAnsi="PT Astra Serif"/>
        </w:rPr>
        <w:br w:type="textWrapping" w:clear="all"/>
        <w:t xml:space="preserve">РАСПОРЯЖЕНИЕ</w:t>
      </w:r>
      <w:r/>
    </w:p>
    <w:p>
      <w:pPr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466" w:type="dxa"/>
        <w:tblInd w:w="110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2655"/>
        <w:gridCol w:w="2640"/>
        <w:gridCol w:w="420"/>
        <w:gridCol w:w="781"/>
        <w:gridCol w:w="165"/>
      </w:tblGrid>
      <w:tr>
        <w:trPr/>
        <w:tc>
          <w:tcPr>
            <w:tcBorders>
              <w:bottom w:val="single" w:color="000000" w:sz="2" w:space="0"/>
            </w:tcBorders>
            <w:tcW w:w="2805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10</w:t>
            </w:r>
            <w:r>
              <w:rPr>
                <w:rFonts w:ascii="PT Astra Serif" w:hAnsi="PT Astra Serif"/>
                <w:lang w:val="ru-RU"/>
              </w:rPr>
              <w:t xml:space="preserve">.</w:t>
            </w:r>
            <w:r>
              <w:rPr>
                <w:rFonts w:ascii="PT Astra Serif" w:hAnsi="PT Astra Serif"/>
                <w:lang w:val="en-US"/>
              </w:rPr>
              <w:t xml:space="preserve">09</w:t>
            </w:r>
            <w:r>
              <w:rPr>
                <w:rFonts w:ascii="PT Astra Serif" w:hAnsi="PT Astra Serif"/>
                <w:lang w:val="ru-RU"/>
              </w:rPr>
              <w:t xml:space="preserve">.</w:t>
            </w:r>
            <w:r>
              <w:rPr>
                <w:rFonts w:ascii="PT Astra Serif" w:hAnsi="PT Astra Serif"/>
                <w:lang w:val="en-US"/>
              </w:rPr>
              <w:t xml:space="preserve">2026</w:t>
            </w:r>
            <w:r/>
          </w:p>
        </w:tc>
        <w:tc>
          <w:tcPr>
            <w:gridSpan w:val="2"/>
            <w:tcW w:w="5295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420" w:type="dxa"/>
            <w:textDirection w:val="lrTb"/>
            <w:noWrap w:val="false"/>
          </w:tcPr>
          <w:p>
            <w:pPr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bottom w:val="single" w:color="000000" w:sz="2" w:space="0"/>
            </w:tcBorders>
            <w:tcW w:w="781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40-р</w:t>
            </w:r>
            <w:r/>
          </w:p>
        </w:tc>
        <w:tc>
          <w:tcPr>
            <w:tcW w:w="165" w:type="dxa"/>
            <w:textDirection w:val="lrTb"/>
            <w:noWrap w:val="false"/>
          </w:tcPr>
          <w:p>
            <w:pPr>
              <w:pStyle w:val="85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88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466" w:type="dxa"/>
            <w:textDirection w:val="lrTb"/>
            <w:noWrap w:val="false"/>
          </w:tcPr>
          <w:p>
            <w:pPr>
              <w:pStyle w:val="85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установлении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</w:t>
            </w:r>
            <w:r>
              <w:rPr>
                <w:rFonts w:ascii="PT Astra Serif" w:hAnsi="PT Astra Serif"/>
                <w:szCs w:val="28"/>
              </w:rPr>
              <w:t xml:space="preserve">рихинеллезу </w:t>
            </w:r>
            <w:r>
              <w:rPr>
                <w:rFonts w:ascii="PT Astra Serif" w:hAnsi="PT Astra Serif"/>
                <w:szCs w:val="28"/>
              </w:rPr>
              <w:t xml:space="preserve">диких животных </w:t>
            </w:r>
            <w:r>
              <w:rPr>
                <w:rFonts w:ascii="PT Astra Serif" w:hAnsi="PT Astra Serif"/>
                <w:szCs w:val="28"/>
              </w:rPr>
              <w:t xml:space="preserve">на отдельной территории</w:t>
            </w:r>
            <w:r/>
          </w:p>
          <w:p>
            <w:pPr>
              <w:pStyle w:val="854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 </w:t>
            </w:r>
            <w:r>
              <w:rPr>
                <w:rFonts w:ascii="PT Astra Serif" w:hAnsi="PT Astra Serif"/>
                <w:szCs w:val="28"/>
              </w:rPr>
              <w:t xml:space="preserve">Верхнекет</w:t>
            </w:r>
            <w:r>
              <w:rPr>
                <w:rFonts w:ascii="PT Astra Serif" w:hAnsi="PT Astra Serif"/>
                <w:szCs w:val="28"/>
              </w:rPr>
              <w:t xml:space="preserve">ского района Томской области</w:t>
            </w:r>
            <w:r/>
          </w:p>
        </w:tc>
      </w:tr>
      <w:tr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460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006" w:type="dxa"/>
            <w:textDirection w:val="lrTb"/>
            <w:noWrap w:val="false"/>
          </w:tcPr>
          <w:p>
            <w:pPr>
              <w:pStyle w:val="854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со статьями 3</w:t>
      </w:r>
      <w:r>
        <w:rPr>
          <w:rFonts w:ascii="PT Astra Serif" w:hAnsi="PT Astra Serif"/>
          <w:szCs w:val="26"/>
          <w:vertAlign w:val="superscript"/>
        </w:rPr>
        <w:t xml:space="preserve">1</w:t>
      </w:r>
      <w:r>
        <w:rPr>
          <w:rFonts w:ascii="PT Astra Serif" w:hAnsi="PT Astra Serif"/>
          <w:szCs w:val="26"/>
        </w:rPr>
        <w:t xml:space="preserve">, 17 Закона Российской Федерации </w:t>
      </w:r>
      <w:r>
        <w:rPr>
          <w:rFonts w:ascii="PT Astra Serif" w:hAnsi="PT Astra Serif"/>
          <w:szCs w:val="26"/>
        </w:rPr>
        <w:br w:type="textWrapping" w:clear="all"/>
        <w:t xml:space="preserve">от 14 мая 1993 года № 4979-1 «О ветеринарии», приказом Министерства сельского хозяйства Российской Федерации от 19.12.2011 № 476 «Об утверждении перечня заразных, в том числе особо опасн</w:t>
      </w:r>
      <w:r>
        <w:rPr>
          <w:rFonts w:ascii="PT Astra Serif" w:hAnsi="PT Astra Serif"/>
          <w:szCs w:val="26"/>
        </w:rPr>
        <w:t xml:space="preserve">ых, болезней животных, по которым могут устанавливаться ограничительные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</w:t>
      </w:r>
      <w:r>
        <w:rPr>
          <w:rFonts w:ascii="PT Astra Serif" w:hAnsi="PT Astra Serif"/>
          <w:szCs w:val="26"/>
        </w:rPr>
        <w:t xml:space="preserve">, </w:t>
      </w:r>
      <w:r>
        <w:rPr>
          <w:rFonts w:ascii="PT Astra Serif" w:hAnsi="PT Astra Serif"/>
          <w:szCs w:val="26"/>
        </w:rPr>
        <w:t xml:space="preserve">направленных на предотвращение распространения и ликвидацию очагов трихинеллеза, утвержденными приказом Министерства сельского хозяйства Рос</w:t>
      </w:r>
      <w:r>
        <w:rPr>
          <w:rFonts w:ascii="PT Astra Serif" w:hAnsi="PT Astra Serif"/>
          <w:szCs w:val="26"/>
        </w:rPr>
        <w:t xml:space="preserve">сийской Федерации от 26.03.2020 № 154 (далее – ветеринарные правила), Законом Томской области от 12 октября 2005 года № 182-ОЗ «Об обеспечении эпизоотического и ветеринарно-санитарного благополучия в Томской области», на основании представления начальника </w:t>
      </w:r>
      <w:r>
        <w:rPr>
          <w:rFonts w:ascii="PT Astra Serif" w:hAnsi="PT Astra Serif"/>
          <w:szCs w:val="28"/>
        </w:rPr>
        <w:t xml:space="preserve">ОГАУ «</w:t>
      </w:r>
      <w:r>
        <w:rPr>
          <w:rFonts w:ascii="PT Astra Serif" w:hAnsi="PT Astra Serif"/>
          <w:szCs w:val="28"/>
        </w:rPr>
        <w:t xml:space="preserve">Колпашевс</w:t>
      </w:r>
      <w:r>
        <w:rPr>
          <w:rFonts w:ascii="PT Astra Serif" w:hAnsi="PT Astra Serif"/>
          <w:szCs w:val="28"/>
        </w:rPr>
        <w:t xml:space="preserve">кое </w:t>
      </w:r>
      <w:r>
        <w:rPr>
          <w:rFonts w:ascii="PT Astra Serif" w:hAnsi="PT Astra Serif"/>
          <w:szCs w:val="28"/>
        </w:rPr>
        <w:t xml:space="preserve">меж</w:t>
      </w:r>
      <w:r>
        <w:rPr>
          <w:rFonts w:ascii="PT Astra Serif" w:hAnsi="PT Astra Serif"/>
          <w:szCs w:val="28"/>
        </w:rPr>
        <w:t xml:space="preserve">районное ветеринарное управление» от 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8"/>
        </w:rPr>
        <w:t xml:space="preserve">9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0</w:t>
      </w:r>
      <w:r>
        <w:rPr>
          <w:rFonts w:ascii="PT Astra Serif" w:hAnsi="PT Astra Serif"/>
          <w:szCs w:val="28"/>
        </w:rPr>
        <w:t xml:space="preserve">9</w:t>
      </w:r>
      <w:r>
        <w:rPr>
          <w:rFonts w:ascii="PT Astra Serif" w:hAnsi="PT Astra Serif"/>
          <w:szCs w:val="28"/>
        </w:rPr>
        <w:t xml:space="preserve">.202</w:t>
      </w:r>
      <w:r>
        <w:rPr>
          <w:rFonts w:ascii="PT Astra Serif" w:hAnsi="PT Astra Serif"/>
          <w:szCs w:val="28"/>
        </w:rPr>
        <w:t xml:space="preserve">6</w:t>
      </w:r>
      <w:r>
        <w:rPr>
          <w:rFonts w:ascii="PT Astra Serif" w:hAnsi="PT Astra Serif"/>
          <w:szCs w:val="28"/>
        </w:rPr>
        <w:t xml:space="preserve"> № </w:t>
      </w:r>
      <w:r>
        <w:rPr>
          <w:rFonts w:ascii="PT Astra Serif" w:hAnsi="PT Astra Serif"/>
          <w:szCs w:val="28"/>
        </w:rPr>
        <w:t xml:space="preserve">1</w:t>
      </w:r>
      <w:r>
        <w:rPr>
          <w:rFonts w:ascii="PT Astra Serif" w:hAnsi="PT Astra Serif"/>
          <w:szCs w:val="28"/>
        </w:rPr>
        <w:t xml:space="preserve">89</w:t>
      </w:r>
      <w:r>
        <w:rPr>
          <w:rFonts w:ascii="PT Astra Serif" w:hAnsi="PT Astra Serif"/>
          <w:szCs w:val="26"/>
        </w:rPr>
        <w:t xml:space="preserve">: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Установить сроком до </w:t>
      </w:r>
      <w:r>
        <w:rPr>
          <w:rFonts w:ascii="PT Astra Serif" w:hAnsi="PT Astra Serif"/>
          <w:szCs w:val="26"/>
        </w:rPr>
        <w:t xml:space="preserve">10</w:t>
      </w:r>
      <w:r>
        <w:rPr>
          <w:rFonts w:ascii="PT Astra Serif" w:hAnsi="PT Astra Serif"/>
          <w:szCs w:val="26"/>
        </w:rPr>
        <w:t xml:space="preserve">.0</w:t>
      </w:r>
      <w:r>
        <w:rPr>
          <w:rFonts w:ascii="PT Astra Serif" w:hAnsi="PT Astra Serif"/>
          <w:szCs w:val="26"/>
        </w:rPr>
        <w:t xml:space="preserve">9</w:t>
      </w:r>
      <w:r>
        <w:rPr>
          <w:rFonts w:ascii="PT Astra Serif" w:hAnsi="PT Astra Serif"/>
          <w:szCs w:val="26"/>
        </w:rPr>
        <w:t xml:space="preserve">.202</w:t>
      </w:r>
      <w:r>
        <w:rPr>
          <w:rFonts w:ascii="PT Astra Serif" w:hAnsi="PT Astra Serif"/>
          <w:szCs w:val="26"/>
        </w:rPr>
        <w:t xml:space="preserve">7</w:t>
      </w:r>
      <w:r>
        <w:rPr>
          <w:rFonts w:ascii="PT Astra Serif" w:hAnsi="PT Astra Serif"/>
          <w:szCs w:val="26"/>
        </w:rPr>
        <w:t xml:space="preserve"> года ограничительные мероприятия (карантин) по трихинеллезу.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Установить границы: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а) эпизоотического </w:t>
      </w:r>
      <w:r>
        <w:rPr>
          <w:rFonts w:ascii="PT Astra Serif" w:hAnsi="PT Astra Serif"/>
          <w:szCs w:val="26"/>
        </w:rPr>
        <w:t xml:space="preserve">очага: участок с координатами 58</w:t>
      </w:r>
      <w:r>
        <w:rPr>
          <w:rFonts w:ascii="PT Astra Serif" w:hAnsi="PT Astra Serif"/>
          <w:szCs w:val="26"/>
        </w:rPr>
        <w:t xml:space="preserve">°</w:t>
      </w:r>
      <w:r>
        <w:rPr>
          <w:rFonts w:ascii="PT Astra Serif" w:hAnsi="PT Astra Serif"/>
          <w:szCs w:val="26"/>
        </w:rPr>
        <w:t xml:space="preserve">45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7391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с.ш</w:t>
      </w:r>
      <w:r>
        <w:rPr>
          <w:rFonts w:ascii="PT Astra Serif" w:hAnsi="PT Astra Serif"/>
          <w:szCs w:val="26"/>
        </w:rPr>
        <w:t xml:space="preserve">., 8</w:t>
      </w:r>
      <w:r>
        <w:rPr>
          <w:rFonts w:ascii="PT Astra Serif" w:hAnsi="PT Astra Serif"/>
          <w:szCs w:val="26"/>
        </w:rPr>
        <w:t xml:space="preserve">5</w:t>
      </w:r>
      <w:r>
        <w:rPr>
          <w:rFonts w:ascii="PT Astra Serif" w:hAnsi="PT Astra Serif"/>
          <w:szCs w:val="26"/>
        </w:rPr>
        <w:t xml:space="preserve">°</w:t>
      </w:r>
      <w:r>
        <w:rPr>
          <w:rFonts w:ascii="PT Astra Serif" w:hAnsi="PT Astra Serif"/>
          <w:szCs w:val="26"/>
        </w:rPr>
        <w:t xml:space="preserve">00</w:t>
      </w:r>
      <w:r>
        <w:rPr>
          <w:rFonts w:ascii="PT Astra Serif" w:hAnsi="PT Astra Serif"/>
          <w:szCs w:val="26"/>
        </w:rPr>
        <w:t xml:space="preserve"></w:t>
      </w:r>
      <w:r>
        <w:rPr>
          <w:rFonts w:ascii="PT Astra Serif" w:hAnsi="PT Astra Serif"/>
          <w:szCs w:val="26"/>
        </w:rPr>
        <w:t xml:space="preserve">7472 </w:t>
      </w:r>
      <w:r>
        <w:rPr>
          <w:rFonts w:ascii="PT Astra Serif" w:hAnsi="PT Astra Serif"/>
          <w:szCs w:val="26"/>
        </w:rPr>
        <w:t xml:space="preserve">в.д</w:t>
      </w:r>
      <w:r>
        <w:rPr>
          <w:rFonts w:ascii="PT Astra Serif" w:hAnsi="PT Astra Serif"/>
          <w:szCs w:val="26"/>
        </w:rPr>
        <w:t xml:space="preserve">. на берегу реки </w:t>
      </w:r>
      <w:r>
        <w:rPr>
          <w:rFonts w:ascii="PT Astra Serif" w:hAnsi="PT Astra Serif"/>
          <w:szCs w:val="26"/>
        </w:rPr>
        <w:t xml:space="preserve">Кеть</w:t>
      </w:r>
      <w:r>
        <w:rPr>
          <w:rFonts w:ascii="PT Astra Serif" w:hAnsi="PT Astra Serif"/>
          <w:szCs w:val="26"/>
        </w:rPr>
        <w:t xml:space="preserve">,</w:t>
      </w:r>
      <w:r>
        <w:rPr>
          <w:rFonts w:ascii="PT Astra Serif" w:hAnsi="PT Astra Serif"/>
          <w:szCs w:val="26"/>
        </w:rPr>
        <w:t xml:space="preserve"> расположенный </w:t>
      </w:r>
      <w:r>
        <w:rPr>
          <w:rFonts w:ascii="PT Astra Serif" w:hAnsi="PT Astra Serif"/>
          <w:szCs w:val="26"/>
        </w:rPr>
        <w:t xml:space="preserve">в границах </w:t>
      </w:r>
      <w:r>
        <w:rPr>
          <w:rFonts w:ascii="PT Astra Serif" w:hAnsi="PT Astra Serif"/>
          <w:szCs w:val="26"/>
        </w:rPr>
        <w:t xml:space="preserve">р.п</w:t>
      </w:r>
      <w:r>
        <w:rPr>
          <w:rFonts w:ascii="PT Astra Serif" w:hAnsi="PT Astra Serif"/>
          <w:szCs w:val="26"/>
        </w:rPr>
        <w:t xml:space="preserve">. Белый Яр Верхнекетск</w:t>
      </w:r>
      <w:r>
        <w:rPr>
          <w:rFonts w:ascii="PT Astra Serif" w:hAnsi="PT Astra Serif"/>
          <w:szCs w:val="26"/>
        </w:rPr>
        <w:t xml:space="preserve">ого </w:t>
      </w:r>
      <w:r>
        <w:rPr>
          <w:rFonts w:ascii="PT Astra Serif" w:hAnsi="PT Astra Serif"/>
          <w:szCs w:val="26"/>
        </w:rPr>
        <w:t xml:space="preserve">района Томской области;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б) неблагополучного пункта: территорию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р.п</w:t>
      </w:r>
      <w:r>
        <w:rPr>
          <w:rFonts w:ascii="PT Astra Serif" w:hAnsi="PT Astra Serif"/>
          <w:szCs w:val="26"/>
        </w:rPr>
        <w:t xml:space="preserve">. Белый Яр Верхнекетского района Томской области</w:t>
      </w:r>
      <w:r>
        <w:rPr>
          <w:rFonts w:ascii="PT Astra Serif" w:hAnsi="PT Astra Serif"/>
          <w:szCs w:val="26"/>
        </w:rPr>
        <w:t xml:space="preserve">, радиусом </w:t>
      </w:r>
      <w:r>
        <w:rPr>
          <w:rFonts w:ascii="PT Astra Serif" w:hAnsi="PT Astra Serif"/>
          <w:szCs w:val="26"/>
        </w:rPr>
        <w:t xml:space="preserve">5</w:t>
      </w:r>
      <w:r>
        <w:rPr>
          <w:rFonts w:ascii="PT Astra Serif" w:hAnsi="PT Astra Serif"/>
          <w:szCs w:val="26"/>
        </w:rPr>
        <w:t xml:space="preserve"> км от эпизоотического очага.</w:t>
      </w:r>
      <w:r/>
    </w:p>
    <w:p>
      <w:pPr>
        <w:ind w:firstLine="709"/>
        <w:rPr>
          <w:rFonts w:ascii="PT Astra Serif" w:hAnsi="PT Astra Serif"/>
          <w:szCs w:val="26"/>
        </w:rPr>
      </w:pPr>
      <w:r>
        <w:rPr>
          <w:rStyle w:val="838"/>
          <w:rFonts w:ascii="PT Astra Serif" w:hAnsi="PT Astra Serif"/>
          <w:szCs w:val="28"/>
        </w:rPr>
        <w:t xml:space="preserve">3. В</w:t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эпизоотическом</w:t>
      </w:r>
      <w:r>
        <w:rPr>
          <w:rFonts w:ascii="PT Astra Serif" w:hAnsi="PT Astra Serif"/>
          <w:szCs w:val="26"/>
        </w:rPr>
        <w:t xml:space="preserve"> очаге на период действия ограничительных мероприятий (карантина) по трихинеллезу: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а) </w:t>
      </w:r>
      <w:r>
        <w:rPr>
          <w:rStyle w:val="838"/>
          <w:rFonts w:ascii="PT Astra Serif" w:hAnsi="PT Astra Serif"/>
          <w:szCs w:val="28"/>
        </w:rPr>
        <w:t xml:space="preserve">обеспечить отсутствие восприимчивых животных, отнесенных к охотничьим ресурсам, путем регулирования их численности</w:t>
      </w:r>
      <w:r>
        <w:rPr>
          <w:rStyle w:val="838"/>
          <w:rFonts w:ascii="PT Astra Serif" w:hAnsi="PT Astra Serif"/>
          <w:szCs w:val="28"/>
        </w:rPr>
        <w:t xml:space="preserve">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б) </w:t>
      </w:r>
      <w:r>
        <w:rPr>
          <w:rStyle w:val="838"/>
          <w:rFonts w:ascii="PT Astra Serif" w:hAnsi="PT Astra Serif"/>
          <w:szCs w:val="28"/>
        </w:rPr>
        <w:t xml:space="preserve">продукты убоя, полученные от восприимчивого животного, в исследуемых пробах от которого были выявлены личинки возбудителя, а также труп восприимчивого животного подвергнуть уничтожению в соответствии с </w:t>
      </w:r>
      <w:r>
        <w:rPr>
          <w:rFonts w:ascii="PT Astra Serif" w:hAnsi="PT Astra Serif"/>
          <w:szCs w:val="28"/>
        </w:rPr>
        <w:t xml:space="preserve">Ветеринарными правилами утилизации биологических отходов</w:t>
      </w:r>
      <w:r>
        <w:rPr>
          <w:rStyle w:val="838"/>
          <w:rFonts w:ascii="PT Astra Serif" w:hAnsi="PT Astra Serif"/>
          <w:szCs w:val="28"/>
        </w:rPr>
        <w:t xml:space="preserve">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в</w:t>
      </w:r>
      <w:r>
        <w:rPr>
          <w:rStyle w:val="838"/>
          <w:rFonts w:ascii="PT Astra Serif" w:hAnsi="PT Astra Serif"/>
          <w:szCs w:val="28"/>
        </w:rPr>
        <w:t xml:space="preserve">) </w:t>
      </w:r>
      <w:r>
        <w:rPr>
          <w:rStyle w:val="838"/>
          <w:rFonts w:ascii="PT Astra Serif" w:hAnsi="PT Astra Serif"/>
          <w:szCs w:val="28"/>
        </w:rPr>
        <w:t xml:space="preserve">обеспечить отсутствие животных без владельца</w:t>
      </w:r>
      <w:r>
        <w:rPr>
          <w:rStyle w:val="838"/>
          <w:rFonts w:ascii="PT Astra Serif" w:hAnsi="PT Astra Serif"/>
          <w:szCs w:val="28"/>
        </w:rPr>
        <w:t xml:space="preserve">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 xml:space="preserve">г</w:t>
      </w:r>
      <w:r>
        <w:rPr>
          <w:rStyle w:val="838"/>
          <w:rFonts w:ascii="PT Astra Serif" w:hAnsi="PT Astra Serif"/>
          <w:szCs w:val="28"/>
        </w:rPr>
        <w:t xml:space="preserve">) </w:t>
      </w:r>
      <w:r>
        <w:rPr>
          <w:rStyle w:val="838"/>
          <w:rFonts w:ascii="PT Astra Serif" w:hAnsi="PT Astra Serif"/>
          <w:szCs w:val="28"/>
        </w:rPr>
        <w:t xml:space="preserve">провести дезинфекцию места хранения туши дикого животного и отбора проб материала</w:t>
      </w:r>
      <w:r>
        <w:rPr>
          <w:rStyle w:val="838"/>
          <w:rFonts w:ascii="PT Astra Serif" w:hAnsi="PT Astra Serif"/>
          <w:szCs w:val="28"/>
        </w:rPr>
        <w:t xml:space="preserve">.</w:t>
      </w:r>
      <w:r/>
    </w:p>
    <w:p>
      <w:pPr>
        <w:pStyle w:val="863"/>
        <w:ind w:firstLine="709"/>
      </w:pPr>
      <w:r>
        <w:rPr>
          <w:szCs w:val="28"/>
        </w:rPr>
        <w:t xml:space="preserve">4.</w:t>
      </w:r>
      <w:r>
        <w:rPr>
          <w:rFonts w:ascii="PT Astra Serif" w:hAnsi="PT Astra Serif"/>
          <w:szCs w:val="26"/>
        </w:rPr>
        <w:t xml:space="preserve"> В неблагополучном пункте на период действия ограничительных мероприятий (карантина) по трихинеллезу</w:t>
      </w:r>
      <w:r>
        <w:rPr>
          <w:szCs w:val="28"/>
        </w:rPr>
        <w:t xml:space="preserve">:</w:t>
      </w:r>
      <w:r/>
    </w:p>
    <w:p>
      <w:pPr>
        <w:ind w:firstLine="709"/>
        <w:rPr>
          <w:rStyle w:val="838"/>
          <w:rFonts w:ascii="PT Astra Serif" w:hAnsi="PT Astra Serif"/>
        </w:rPr>
      </w:pPr>
      <w:r>
        <w:rPr>
          <w:rStyle w:val="838"/>
          <w:rFonts w:ascii="PT Astra Serif" w:hAnsi="PT Astra Serif"/>
          <w:szCs w:val="28"/>
        </w:rPr>
        <w:t xml:space="preserve">а) запретить </w:t>
      </w:r>
      <w:r>
        <w:rPr>
          <w:rStyle w:val="838"/>
          <w:rFonts w:ascii="PT Astra Serif" w:hAnsi="PT Astra Serif"/>
        </w:rPr>
        <w:t xml:space="preserve">вывоз восприимчивых животных за пределы неблагополучного пункта</w:t>
      </w:r>
      <w:r>
        <w:rPr>
          <w:rStyle w:val="838"/>
          <w:rFonts w:ascii="PT Astra Serif" w:hAnsi="PT Astra Serif"/>
        </w:rPr>
        <w:t xml:space="preserve">, за исключением вывоза на убой на предприятия по убою животных или оборудованные для этих целей убойные пункты;</w:t>
      </w:r>
      <w:r/>
    </w:p>
    <w:p>
      <w:pPr>
        <w:ind w:firstLine="709"/>
        <w:rPr>
          <w:rStyle w:val="838"/>
          <w:rFonts w:ascii="PT Astra Serif" w:hAnsi="PT Astra Serif"/>
        </w:rPr>
      </w:pPr>
      <w:r>
        <w:rPr>
          <w:rStyle w:val="838"/>
          <w:rFonts w:ascii="PT Astra Serif" w:hAnsi="PT Astra Serif"/>
        </w:rPr>
        <w:t xml:space="preserve">б) </w:t>
      </w:r>
      <w:r>
        <w:rPr>
          <w:rStyle w:val="838"/>
          <w:rFonts w:ascii="PT Astra Serif" w:hAnsi="PT Astra Serif"/>
        </w:rPr>
        <w:t xml:space="preserve">запретить </w:t>
      </w:r>
      <w:r>
        <w:rPr>
          <w:rStyle w:val="838"/>
          <w:rFonts w:ascii="PT Astra Serif" w:hAnsi="PT Astra Serif"/>
        </w:rPr>
        <w:t xml:space="preserve">проведение ярмарок (выставок), других мероприятий, связанных с передвижением и скоплением животных;</w:t>
      </w:r>
      <w:r/>
    </w:p>
    <w:p>
      <w:pPr>
        <w:ind w:firstLine="709"/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</w:rPr>
        <w:t xml:space="preserve">в) обеспечить отсутствие животных без владельца</w:t>
      </w:r>
      <w:r>
        <w:rPr>
          <w:rStyle w:val="838"/>
          <w:rFonts w:ascii="PT Astra Serif" w:hAnsi="PT Astra Serif"/>
          <w:szCs w:val="28"/>
        </w:rPr>
        <w:t xml:space="preserve">.</w:t>
      </w:r>
      <w:r/>
    </w:p>
    <w:p>
      <w:pPr>
        <w:rPr>
          <w:rStyle w:val="838"/>
          <w:rFonts w:ascii="PT Astra Serif" w:hAnsi="PT Astra Serif"/>
          <w:szCs w:val="28"/>
        </w:rPr>
      </w:pPr>
      <w:r>
        <w:rPr>
          <w:rStyle w:val="838"/>
          <w:rFonts w:ascii="PT Astra Serif" w:hAnsi="PT Astra Serif"/>
          <w:szCs w:val="28"/>
        </w:rPr>
        <w:tab/>
        <w:t xml:space="preserve">5. У</w:t>
      </w:r>
      <w:r>
        <w:rPr>
          <w:szCs w:val="28"/>
        </w:rPr>
        <w:t xml:space="preserve">твердить план мероприятий </w:t>
      </w:r>
      <w:r>
        <w:rPr>
          <w:rStyle w:val="838"/>
          <w:rFonts w:ascii="PT Astra Serif" w:hAnsi="PT Astra Serif"/>
          <w:szCs w:val="28"/>
        </w:rPr>
        <w:t xml:space="preserve">по ликвидации эпизоотического очага трихинеллеза и предотвраще</w:t>
      </w:r>
      <w:r>
        <w:rPr>
          <w:rStyle w:val="838"/>
          <w:rFonts w:ascii="PT Astra Serif" w:hAnsi="PT Astra Serif"/>
          <w:szCs w:val="28"/>
        </w:rPr>
        <w:t xml:space="preserve">ния распространения возбудителя</w:t>
      </w:r>
      <w:r>
        <w:rPr>
          <w:rStyle w:val="838"/>
          <w:rFonts w:ascii="PT Astra Serif" w:hAnsi="PT Astra Serif"/>
          <w:szCs w:val="28"/>
        </w:rPr>
        <w:t xml:space="preserve">, </w:t>
      </w:r>
      <w:r>
        <w:rPr>
          <w:rFonts w:cs="Times New Roman"/>
          <w:szCs w:val="28"/>
        </w:rPr>
        <w:t xml:space="preserve">согласно приложению к настоящему распоряжению. </w:t>
      </w:r>
      <w:r/>
    </w:p>
    <w:p>
      <w:pPr>
        <w:ind w:firstLine="709"/>
        <w:rPr>
          <w:rFonts w:ascii="PT Astra Serif" w:hAnsi="PT Astra Serif"/>
        </w:rPr>
      </w:pPr>
      <w:r>
        <w:rPr>
          <w:rFonts w:ascii="PT Astra Serif" w:hAnsi="PT Astra Serif"/>
        </w:rPr>
        <w:t xml:space="preserve">6. </w:t>
      </w:r>
      <w:r>
        <w:rPr>
          <w:rFonts w:ascii="PT Astra Serif" w:hAnsi="PT Astra Serif"/>
          <w:szCs w:val="28"/>
        </w:rPr>
        <w:t xml:space="preserve">Контроль за</w:t>
      </w:r>
      <w:r>
        <w:rPr>
          <w:rFonts w:ascii="PT Astra Serif" w:hAnsi="PT Astra Serif"/>
          <w:szCs w:val="28"/>
        </w:rPr>
        <w:t xml:space="preserve"> исполнением настоящего распоряжения </w:t>
      </w:r>
      <w:r>
        <w:rPr>
          <w:rFonts w:ascii="PT Astra Serif" w:hAnsi="PT Astra Serif"/>
          <w:szCs w:val="28"/>
        </w:rPr>
        <w:t xml:space="preserve">возложить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 </w:t>
      </w:r>
      <w:r>
        <w:rPr>
          <w:rFonts w:ascii="PT Astra Serif" w:hAnsi="PT Astra Serif"/>
          <w:szCs w:val="28"/>
        </w:rPr>
        <w:t xml:space="preserve">заместител</w:t>
      </w:r>
      <w:r>
        <w:rPr>
          <w:rFonts w:ascii="PT Astra Serif" w:hAnsi="PT Astra Serif"/>
          <w:szCs w:val="28"/>
        </w:rPr>
        <w:t xml:space="preserve">я</w:t>
      </w:r>
      <w:r>
        <w:rPr>
          <w:rFonts w:ascii="PT Astra Serif" w:hAnsi="PT Astra Serif"/>
          <w:szCs w:val="28"/>
        </w:rPr>
        <w:t xml:space="preserve"> начальника Департамента ветеринарии Томской области.</w:t>
      </w:r>
      <w:r/>
    </w:p>
    <w:p>
      <w:pPr>
        <w:ind w:firstLine="66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51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5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856"/>
        <w:rPr>
          <w:rFonts w:ascii="PT Astra Serif" w:hAnsi="PT Astra Serif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ачальник департамента                                                         И.В.Егоров</w:t>
      </w:r>
      <w:r>
        <w:rPr>
          <w:rFonts w:ascii="PT Astra Serif" w:hAnsi="PT Astra Serif"/>
        </w:rPr>
      </w:r>
    </w:p>
    <w:tbl>
      <w:tblPr>
        <w:tblW w:w="15331" w:type="dxa"/>
        <w:tblLook w:val="04A0" w:firstRow="1" w:lastRow="0" w:firstColumn="1" w:lastColumn="0" w:noHBand="0" w:noVBand="1"/>
      </w:tblPr>
      <w:tblGrid>
        <w:gridCol w:w="15109"/>
        <w:gridCol w:w="222"/>
      </w:tblGrid>
      <w:tr>
        <w:trPr>
          <w:trHeight w:val="285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109" w:type="dxa"/>
            <w:textDirection w:val="lrTb"/>
            <w:noWrap w:val="false"/>
          </w:tcPr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Приложение к распоряжению 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Департамента ветеринарии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</w:r>
            <w:r/>
          </w:p>
          <w:p>
            <w:pPr>
              <w:ind w:left="9214" w:firstLine="709"/>
              <w:spacing w:after="0" w:line="240" w:lineRule="auto"/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 10.09.2026 года № 40-р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</w:r>
            <w:r>
              <w:rPr>
                <w:rFonts w:ascii="PT Astra Serif" w:hAnsi="PT Astra Serif" w:cs="Arial"/>
                <w:sz w:val="24"/>
                <w:szCs w:val="24"/>
              </w:rPr>
            </w:r>
            <w:r/>
          </w:p>
        </w:tc>
      </w:tr>
    </w:tbl>
    <w:p>
      <w:pPr>
        <w:pStyle w:val="1_674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674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</w:r>
      <w:r>
        <w:rPr>
          <w:rFonts w:ascii="PT Astra Serif" w:hAnsi="PT Astra Serif"/>
          <w:b/>
          <w:bCs/>
          <w:color w:val="000000"/>
          <w:sz w:val="28"/>
          <w:szCs w:val="28"/>
        </w:rPr>
      </w:r>
      <w:r/>
    </w:p>
    <w:p>
      <w:pPr>
        <w:pStyle w:val="1_674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ПЛАН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674"/>
        <w:jc w:val="center"/>
        <w:spacing w:before="0" w:beforeAutospacing="0" w:after="0"/>
      </w:pPr>
      <w:r>
        <w:rPr>
          <w:rFonts w:ascii="PT Astra Serif" w:hAnsi="PT Astra Serif"/>
          <w:bCs/>
          <w:color w:val="000000"/>
          <w:sz w:val="28"/>
          <w:szCs w:val="28"/>
        </w:rPr>
        <w:t xml:space="preserve">мероприятий по ликвидации эпизоотического очага трихинеллеза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диких животных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и предотвращения распространения возбудителя на отдельной территории 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Верхнекет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с</w:t>
      </w:r>
      <w:r>
        <w:rPr>
          <w:rFonts w:ascii="PT Astra Serif" w:hAnsi="PT Astra Serif"/>
          <w:bCs/>
          <w:color w:val="000000"/>
          <w:sz w:val="28"/>
          <w:szCs w:val="28"/>
        </w:rPr>
        <w:t xml:space="preserve">кого района Томской области</w:t>
      </w:r>
      <w:r>
        <w:rPr>
          <w:rFonts w:ascii="PT Astra Serif" w:hAnsi="PT Astra Serif"/>
          <w:bCs/>
          <w:color w:val="000000"/>
          <w:sz w:val="28"/>
          <w:szCs w:val="28"/>
        </w:rPr>
      </w:r>
      <w:r/>
    </w:p>
    <w:p>
      <w:pPr>
        <w:pStyle w:val="1_674"/>
        <w:jc w:val="center"/>
        <w:spacing w:before="0" w:beforeAutospacing="0" w:after="0"/>
      </w:pPr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b/>
          <w:bCs/>
          <w:color w:val="000000"/>
        </w:rPr>
      </w:r>
      <w:r/>
    </w:p>
    <w:tbl>
      <w:tblPr>
        <w:tblW w:w="147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36"/>
        <w:gridCol w:w="6119"/>
        <w:gridCol w:w="2755"/>
        <w:gridCol w:w="5199"/>
      </w:tblGrid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</w:t>
            </w:r>
            <w:r>
              <w:rPr>
                <w:rFonts w:ascii="PT Astra Serif" w:hAnsi="PT Astra Serif"/>
              </w:rPr>
              <w:t xml:space="preserve">/п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мероприятий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Срок исполнения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Ответственные исполнители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56"/>
        </w:trPr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Общие организационно-хозяйственные мероприятия 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6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Информирование населения и главы муниципального образования о возникновении эпизоотического очага трихинеллеза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</w:t>
            </w:r>
            <w:r>
              <w:rPr>
                <w:rFonts w:ascii="PT Astra Serif" w:hAnsi="PT Astra Serif"/>
              </w:rPr>
              <w:t xml:space="preserve">Колпашевс</w:t>
            </w:r>
            <w:r>
              <w:rPr>
                <w:rFonts w:ascii="PT Astra Serif" w:hAnsi="PT Astra Serif"/>
              </w:rPr>
              <w:t xml:space="preserve">кое </w:t>
            </w:r>
            <w:r>
              <w:rPr>
                <w:rFonts w:ascii="PT Astra Serif" w:hAnsi="PT Astra Serif"/>
              </w:rPr>
              <w:t xml:space="preserve">меж</w:t>
            </w:r>
            <w:r>
              <w:rPr>
                <w:rFonts w:ascii="PT Astra Serif" w:hAnsi="PT Astra Serif"/>
              </w:rPr>
              <w:t xml:space="preserve">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390"/>
        </w:trPr>
        <w:tc>
          <w:tcPr>
            <w:gridSpan w:val="4"/>
            <w:tcW w:w="14709" w:type="dxa"/>
            <w:textDirection w:val="lrTb"/>
            <w:noWrap w:val="false"/>
          </w:tcPr>
          <w:p>
            <w:pPr>
              <w:ind w:firstLine="709"/>
              <w:jc w:val="center"/>
              <w:spacing w:after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Мероприятия в эпизоотическом очаге </w:t>
            </w:r>
            <w:r>
              <w:rPr>
                <w:rFonts w:ascii="PT Astra Serif" w:hAnsi="PT Astra Serif"/>
                <w:b/>
              </w:rPr>
              <w:t xml:space="preserve">(земельный участок </w:t>
            </w:r>
            <w:r>
              <w:rPr>
                <w:rFonts w:ascii="PT Astra Serif" w:hAnsi="PT Astra Serif"/>
                <w:b/>
              </w:rPr>
              <w:t xml:space="preserve">на берегу </w:t>
            </w:r>
            <w:r>
              <w:rPr>
                <w:rFonts w:ascii="PT Astra Serif" w:hAnsi="PT Astra Serif"/>
                <w:b/>
              </w:rPr>
              <w:t xml:space="preserve">р</w:t>
            </w:r>
            <w:r>
              <w:rPr>
                <w:rFonts w:ascii="PT Astra Serif" w:hAnsi="PT Astra Serif"/>
                <w:b/>
              </w:rPr>
              <w:t xml:space="preserve">.К</w:t>
            </w:r>
            <w:r>
              <w:rPr>
                <w:rFonts w:ascii="PT Astra Serif" w:hAnsi="PT Astra Serif"/>
                <w:b/>
              </w:rPr>
              <w:t xml:space="preserve">еть</w:t>
            </w:r>
            <w:r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 xml:space="preserve">с географическими координатами </w:t>
            </w:r>
            <w:r>
              <w:rPr>
                <w:rFonts w:ascii="PT Astra Serif" w:hAnsi="PT Astra Serif"/>
                <w:b/>
                <w:lang w:val="en-US"/>
              </w:rPr>
              <w:t xml:space="preserve">N</w:t>
            </w:r>
            <w:r>
              <w:rPr>
                <w:rFonts w:ascii="PT Astra Serif" w:hAnsi="PT Astra Serif"/>
                <w:b/>
              </w:rPr>
              <w:t xml:space="preserve"> 5</w:t>
            </w:r>
            <w:r>
              <w:rPr>
                <w:rFonts w:ascii="PT Astra Serif" w:hAnsi="PT Astra Serif"/>
                <w:b/>
              </w:rPr>
              <w:t xml:space="preserve">8</w:t>
            </w:r>
            <w:r>
              <w:rPr>
                <w:rFonts w:ascii="PT Astra Serif" w:hAnsi="PT Astra Serif"/>
                <w:b/>
              </w:rPr>
              <w:t xml:space="preserve">.</w:t>
            </w:r>
            <w:r>
              <w:rPr>
                <w:rFonts w:ascii="PT Astra Serif" w:hAnsi="PT Astra Serif"/>
                <w:b/>
              </w:rPr>
              <w:t xml:space="preserve">457391</w:t>
            </w:r>
            <w:r>
              <w:rPr>
                <w:rFonts w:ascii="PT Astra Serif" w:hAnsi="PT Astra Serif"/>
                <w:b/>
              </w:rPr>
              <w:t xml:space="preserve">;</w:t>
            </w:r>
            <w:r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  <w:lang w:val="en-US"/>
              </w:rPr>
              <w:t xml:space="preserve">E</w:t>
            </w:r>
            <w:r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 xml:space="preserve">8</w:t>
            </w:r>
            <w:r>
              <w:rPr>
                <w:rFonts w:ascii="PT Astra Serif" w:hAnsi="PT Astra Serif"/>
                <w:b/>
              </w:rPr>
              <w:t xml:space="preserve">5</w:t>
            </w:r>
            <w:r>
              <w:rPr>
                <w:rFonts w:ascii="PT Astra Serif" w:hAnsi="PT Astra Serif"/>
                <w:b/>
              </w:rPr>
              <w:t xml:space="preserve">.</w:t>
            </w:r>
            <w:r>
              <w:rPr>
                <w:rFonts w:ascii="PT Astra Serif" w:hAnsi="PT Astra Serif"/>
                <w:b/>
              </w:rPr>
              <w:t xml:space="preserve">007472</w:t>
            </w:r>
            <w:r>
              <w:rPr>
                <w:rFonts w:ascii="PT Astra Serif" w:hAnsi="PT Astra Serif"/>
                <w:b/>
              </w:rPr>
              <w:t xml:space="preserve">)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Обеспечить: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 утилизацию туши медведя, зараженного трихинеллезом, путем сжигания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917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Style w:val="838"/>
                <w:rFonts w:ascii="PT Astra Serif" w:hAnsi="PT Astra Serif"/>
              </w:rPr>
              <w:t xml:space="preserve"> - дезинфекцию места </w:t>
            </w:r>
            <w:r>
              <w:rPr>
                <w:rStyle w:val="838"/>
                <w:rFonts w:ascii="PT Astra Serif" w:hAnsi="PT Astra Serif"/>
              </w:rPr>
              <w:t xml:space="preserve">хранения</w:t>
            </w:r>
            <w:r>
              <w:rPr>
                <w:rStyle w:val="838"/>
                <w:rFonts w:ascii="PT Astra Serif" w:hAnsi="PT Astra Serif"/>
              </w:rPr>
              <w:t xml:space="preserve">,  отбора материала</w:t>
            </w:r>
            <w:r>
              <w:rPr>
                <w:rStyle w:val="838"/>
                <w:rFonts w:ascii="PT Astra Serif" w:hAnsi="PT Astra Serif"/>
              </w:rPr>
              <w:t xml:space="preserve"> и транспортного средства, используемого для перевозки туши медведя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диагноза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Владелец </w:t>
            </w:r>
            <w:r>
              <w:rPr>
                <w:rFonts w:ascii="PT Astra Serif" w:hAnsi="PT Astra Serif"/>
              </w:rPr>
              <w:t xml:space="preserve">&lt;фамилия, имя, отчество&gt;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38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2.3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 отсутствие животных без владельцев </w:t>
            </w:r>
            <w:r>
              <w:rPr>
                <w:rStyle w:val="838"/>
                <w:rFonts w:ascii="PT Astra Serif" w:hAnsi="PT Astra Serif"/>
              </w:rPr>
            </w:r>
            <w:r>
              <w:rPr>
                <w:rStyle w:val="838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Администрация Верхнекетского района (по согласованию)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 </w:t>
            </w:r>
            <w:r>
              <w:rPr>
                <w:rStyle w:val="838"/>
                <w:rFonts w:ascii="PT Astra Serif" w:hAnsi="PT Astra Serif"/>
              </w:rPr>
              <w:t xml:space="preserve">отсутствие </w:t>
            </w:r>
            <w:r>
              <w:rPr>
                <w:rStyle w:val="838"/>
                <w:rFonts w:ascii="PT Astra Serif" w:hAnsi="PT Astra Serif"/>
              </w:rPr>
              <w:t xml:space="preserve">восприимчивых</w:t>
            </w:r>
            <w:r>
              <w:rPr>
                <w:rStyle w:val="838"/>
                <w:rFonts w:ascii="PT Astra Serif" w:hAnsi="PT Astra Serif"/>
              </w:rPr>
              <w:t xml:space="preserve">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/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2.5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 запрет на</w:t>
            </w:r>
            <w:bookmarkStart w:id="0" w:name="undefined"/>
            <w:r/>
            <w:bookmarkEnd w:id="0"/>
            <w:r>
              <w:rPr>
                <w:rStyle w:val="838"/>
                <w:rFonts w:ascii="PT Astra Serif" w:hAnsi="PT Astra Serif"/>
              </w:rPr>
              <w:t xml:space="preserve"> вывоз туш диких животных за пределы эпизоотического очага, за исключением их вывоза для проведения ветеринарно-санитарной экспертизы туш и органов в государственные ветеринарные учреждения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 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2.6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 уничтожение продуктов убоя, полученных от восприимчивых животных, в исследуемых пробах, от которых будут выявлены личинки возбудителя, а также трупы восприимчивых животных в соответствии с Ветеринарными правилами утилизации биологических отходов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После установления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244"/>
        </w:trPr>
        <w:tc>
          <w:tcPr>
            <w:gridSpan w:val="4"/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Мероприятия в неблагополучном пункте (</w:t>
            </w:r>
            <w:r>
              <w:rPr>
                <w:rFonts w:ascii="PT Astra Serif" w:hAnsi="PT Astra Serif"/>
                <w:b/>
              </w:rPr>
              <w:t xml:space="preserve">р.п</w:t>
            </w:r>
            <w:r>
              <w:rPr>
                <w:rFonts w:ascii="PT Astra Serif" w:hAnsi="PT Astra Serif"/>
                <w:b/>
              </w:rPr>
              <w:t xml:space="preserve">. </w:t>
            </w:r>
            <w:r>
              <w:rPr>
                <w:rFonts w:ascii="PT Astra Serif" w:hAnsi="PT Astra Serif"/>
                <w:b/>
              </w:rPr>
              <w:t xml:space="preserve">Белый Яр </w:t>
            </w:r>
            <w:r>
              <w:rPr>
                <w:rFonts w:ascii="PT Astra Serif" w:hAnsi="PT Astra Serif"/>
                <w:b/>
              </w:rPr>
              <w:t xml:space="preserve">в радиусе 5 км от границ </w:t>
            </w:r>
            <w:r>
              <w:rPr>
                <w:rFonts w:ascii="PT Astra Serif" w:hAnsi="PT Astra Serif"/>
                <w:b/>
              </w:rPr>
              <w:t xml:space="preserve">эпизоотического очага</w:t>
            </w:r>
            <w:r>
              <w:rPr>
                <w:rFonts w:ascii="PT Astra Serif" w:hAnsi="PT Astra Serif"/>
                <w:b/>
              </w:rPr>
              <w:t xml:space="preserve">)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3"/>
            <w:tcW w:w="140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Запретить: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Style w:val="838"/>
                <w:rFonts w:ascii="PT Astra Serif" w:hAnsi="PT Astra Serif"/>
                <w:szCs w:val="28"/>
              </w:rPr>
              <w:t xml:space="preserve">- </w:t>
            </w:r>
            <w:r>
              <w:rPr>
                <w:rStyle w:val="838"/>
                <w:rFonts w:ascii="PT Astra Serif" w:hAnsi="PT Astra Serif"/>
              </w:rPr>
              <w:t xml:space="preserve">вывоз восприимчивых животных за пределы неблагополучного пункта, за исключением вывоза на убой на предприятия по убою животных или оборудованные для этих целей убойные пункты</w:t>
            </w:r>
            <w:r>
              <w:rPr>
                <w:rFonts w:ascii="PT Astra Serif" w:hAnsi="PT Astra Serif"/>
                <w:b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 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3.2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 </w:t>
            </w:r>
            <w:r>
              <w:rPr>
                <w:rStyle w:val="838"/>
                <w:rFonts w:ascii="PT Astra Serif" w:hAnsi="PT Astra Serif"/>
              </w:rPr>
              <w:t xml:space="preserve">проведение ярмарок (выставок), других мероприятий, связанных с передвижением и скоплением животных</w:t>
            </w:r>
            <w:r>
              <w:rPr>
                <w:rStyle w:val="838"/>
                <w:rFonts w:ascii="PT Astra Serif" w:hAnsi="PT Astra Serif"/>
                <w:szCs w:val="28"/>
              </w:rPr>
            </w:r>
            <w:r>
              <w:rPr>
                <w:rStyle w:val="838"/>
              </w:rPr>
            </w:r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Администрация Верхнекетского района (по согласованию)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 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  <w:highlight w:val="yellow"/>
              </w:rPr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>
          <w:trHeight w:val="28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3"/>
            <w:tcW w:w="140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Обеспечить: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819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Style w:val="838"/>
                <w:rFonts w:ascii="PT Astra Serif" w:hAnsi="PT Astra Serif"/>
              </w:rPr>
              <w:t xml:space="preserve">- отсутствие </w:t>
            </w:r>
            <w:r>
              <w:rPr>
                <w:rStyle w:val="838"/>
                <w:rFonts w:ascii="PT Astra Serif" w:hAnsi="PT Astra Serif"/>
              </w:rPr>
              <w:t xml:space="preserve">восприимчивых</w:t>
            </w:r>
            <w:r>
              <w:rPr>
                <w:rStyle w:val="838"/>
                <w:rFonts w:ascii="PT Astra Serif" w:hAnsi="PT Astra Serif"/>
              </w:rPr>
              <w:t xml:space="preserve"> животных, отнесенных к охотничьим ресурсам, путем регулирования численности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 период действия ограничительных мероприятий (карантина)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/>
                <w:highlight w:val="yellow"/>
              </w:rPr>
            </w:r>
            <w:r/>
          </w:p>
        </w:tc>
      </w:tr>
      <w:tr>
        <w:trPr/>
        <w:tc>
          <w:tcPr>
            <w:gridSpan w:val="4"/>
            <w:tcW w:w="14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/>
              </w:rPr>
              <w:t xml:space="preserve">Отмена ограничительных мероприятий</w:t>
            </w:r>
            <w:r>
              <w:rPr>
                <w:rFonts w:ascii="PT Astra Serif" w:hAnsi="PT Astra Serif"/>
                <w:b/>
              </w:rPr>
            </w:r>
            <w:r/>
          </w:p>
        </w:tc>
      </w:tr>
      <w:tr>
        <w:trPr>
          <w:trHeight w:val="4135"/>
        </w:trPr>
        <w:tc>
          <w:tcPr>
            <w:tcW w:w="63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6119" w:type="dxa"/>
            <w:textDirection w:val="lrTb"/>
            <w:noWrap w:val="false"/>
          </w:tcPr>
          <w:p>
            <w:pPr>
              <w:jc w:val="both"/>
            </w:pPr>
            <w:r>
              <w:rPr>
                <w:rFonts w:ascii="PT Astra Serif" w:hAnsi="PT Astra Serif"/>
              </w:rPr>
              <w:t xml:space="preserve">Отменить ограничительные мероприятия (карантин) через 1 год после последнего выявления трихинелл в тушах восприимчивых животных и проведения мероприятий, предусмотренных Ветеринарными правилами осуществления профилакт</w:t>
            </w:r>
            <w:r>
              <w:rPr>
                <w:rFonts w:ascii="PT Astra Serif" w:hAnsi="PT Astra Serif"/>
              </w:rPr>
              <w:t xml:space="preserve">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№ 154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27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Через 1 год после последнего</w:t>
            </w:r>
            <w:r>
              <w:rPr>
                <w:rFonts w:ascii="PT Astra Serif" w:hAnsi="PT Astra Serif"/>
              </w:rPr>
              <w:t xml:space="preserve"> выявления трихинелл в тушах восприимчивых животных и проведения других мероприятий, предусмотренных Правилами и получения от начальника ОГАУ «Колпашевское межрайонное ветеринарное управление» заключения о выполнении мероприятий, предусмотренных Правилами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W w:w="5199" w:type="dxa"/>
            <w:textDirection w:val="lrTb"/>
            <w:noWrap w:val="false"/>
          </w:tcPr>
          <w:p>
            <w:pPr>
              <w:jc w:val="both"/>
              <w:spacing w:after="0" w:line="240" w:lineRule="auto"/>
            </w:pPr>
            <w:r>
              <w:rPr>
                <w:rFonts w:ascii="PT Astra Serif" w:hAnsi="PT Astra Serif"/>
              </w:rPr>
              <w:t xml:space="preserve">Департамент ветеринарии Томской области,</w:t>
            </w:r>
            <w:r>
              <w:rPr>
                <w:rFonts w:ascii="PT Astra Serif" w:hAnsi="PT Astra Serif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ОГАУ «Колпашевское межрайонное ветеринарное управление»</w:t>
            </w:r>
            <w:r>
              <w:rPr>
                <w:rFonts w:ascii="PT Astra Serif" w:hAnsi="PT Astra Serif"/>
              </w:rPr>
            </w:r>
            <w:r/>
          </w:p>
        </w:tc>
      </w:tr>
    </w:tbl>
    <w:p>
      <w:pPr>
        <w:rPr>
          <w:rFonts w:ascii="PT Astra Serif" w:hAnsi="PT Astra Serif" w:cs="Arial"/>
          <w:b/>
          <w:bCs/>
          <w:color w:val="000000"/>
          <w:sz w:val="28"/>
          <w:szCs w:val="28"/>
        </w:rPr>
      </w:pPr>
      <w:r/>
      <w:r/>
      <w:r/>
    </w:p>
    <w:p>
      <w:pPr>
        <w:pStyle w:val="856"/>
        <w:rPr>
          <w:rFonts w:ascii="PT Astra Serif" w:hAnsi="PT Astra Serif"/>
        </w:rPr>
      </w:pPr>
      <w:r>
        <w:rPr>
          <w:rFonts w:ascii="PT Astra Serif" w:hAnsi="PT Astra Serif"/>
          <w:szCs w:val="28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Courier New">
    <w:panose1 w:val="02070309020205020404"/>
  </w:font>
  <w:font w:name="Microsoft YaHei">
    <w:panose1 w:val="020B0503020204020204"/>
  </w:font>
  <w:font w:name="Tahoma">
    <w:panose1 w:val="020B0604030504040204"/>
  </w:font>
  <w:font w:name="Liberation Sans">
    <w:panose1 w:val="020B0604020202020204"/>
  </w:font>
  <w:font w:name="OpenSymbol">
    <w:panose1 w:val="05010000000000000000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8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pStyle w:val="65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66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66"/>
    <w:link w:val="658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66"/>
    <w:link w:val="680"/>
    <w:uiPriority w:val="10"/>
    <w:rPr>
      <w:sz w:val="48"/>
      <w:szCs w:val="48"/>
    </w:rPr>
  </w:style>
  <w:style w:type="character" w:styleId="36">
    <w:name w:val="Subtitle Char"/>
    <w:basedOn w:val="666"/>
    <w:link w:val="682"/>
    <w:uiPriority w:val="11"/>
    <w:rPr>
      <w:sz w:val="24"/>
      <w:szCs w:val="24"/>
    </w:rPr>
  </w:style>
  <w:style w:type="character" w:styleId="38">
    <w:name w:val="Quote Char"/>
    <w:link w:val="684"/>
    <w:uiPriority w:val="29"/>
    <w:rPr>
      <w:i/>
    </w:rPr>
  </w:style>
  <w:style w:type="character" w:styleId="40">
    <w:name w:val="Intense Quote Char"/>
    <w:link w:val="686"/>
    <w:uiPriority w:val="30"/>
    <w:rPr>
      <w:i/>
    </w:rPr>
  </w:style>
  <w:style w:type="character" w:styleId="42">
    <w:name w:val="Header Char"/>
    <w:basedOn w:val="666"/>
    <w:link w:val="688"/>
    <w:uiPriority w:val="99"/>
  </w:style>
  <w:style w:type="character" w:styleId="46">
    <w:name w:val="Caption Char"/>
    <w:basedOn w:val="692"/>
    <w:link w:val="690"/>
    <w:uiPriority w:val="99"/>
  </w:style>
  <w:style w:type="character" w:styleId="175">
    <w:name w:val="Footnote Text Char"/>
    <w:link w:val="821"/>
    <w:uiPriority w:val="99"/>
    <w:rPr>
      <w:sz w:val="18"/>
    </w:rPr>
  </w:style>
  <w:style w:type="character" w:styleId="178">
    <w:name w:val="Endnote Text Char"/>
    <w:link w:val="824"/>
    <w:uiPriority w:val="99"/>
    <w:rPr>
      <w:sz w:val="20"/>
    </w:rPr>
  </w:style>
  <w:style w:type="paragraph" w:styleId="656" w:default="1">
    <w:name w:val="Normal"/>
    <w:qFormat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Lucida Sans Unicode" w:cs="Mangal"/>
      <w:sz w:val="28"/>
      <w:szCs w:val="24"/>
      <w:lang w:bidi="hi-IN"/>
    </w:rPr>
  </w:style>
  <w:style w:type="paragraph" w:styleId="657">
    <w:name w:val="Heading 1"/>
    <w:basedOn w:val="656"/>
    <w:next w:val="65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8">
    <w:name w:val="Heading 2"/>
    <w:basedOn w:val="656"/>
    <w:next w:val="656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9">
    <w:name w:val="Heading 3"/>
    <w:basedOn w:val="656"/>
    <w:next w:val="656"/>
    <w:link w:val="671"/>
    <w:qFormat/>
    <w:pPr>
      <w:numPr>
        <w:ilvl w:val="2"/>
        <w:numId w:val="1"/>
      </w:numPr>
      <w:jc w:val="center"/>
      <w:keepNext/>
      <w:outlineLvl w:val="2"/>
    </w:pPr>
    <w:rPr>
      <w:b/>
    </w:rPr>
  </w:style>
  <w:style w:type="paragraph" w:styleId="660">
    <w:name w:val="Heading 4"/>
    <w:basedOn w:val="656"/>
    <w:next w:val="656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1">
    <w:name w:val="Heading 5"/>
    <w:basedOn w:val="656"/>
    <w:next w:val="656"/>
    <w:link w:val="67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paragraph" w:styleId="662">
    <w:name w:val="Heading 6"/>
    <w:basedOn w:val="656"/>
    <w:next w:val="656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3">
    <w:name w:val="Heading 7"/>
    <w:basedOn w:val="656"/>
    <w:next w:val="656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656"/>
    <w:next w:val="656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5">
    <w:name w:val="Heading 9"/>
    <w:basedOn w:val="656"/>
    <w:next w:val="65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character" w:styleId="669" w:customStyle="1">
    <w:name w:val="Заголовок 1 Знак"/>
    <w:basedOn w:val="666"/>
    <w:link w:val="657"/>
    <w:uiPriority w:val="9"/>
    <w:rPr>
      <w:rFonts w:ascii="Arial" w:hAnsi="Arial" w:eastAsia="Arial" w:cs="Arial"/>
      <w:sz w:val="40"/>
      <w:szCs w:val="40"/>
    </w:rPr>
  </w:style>
  <w:style w:type="character" w:styleId="670" w:customStyle="1">
    <w:name w:val="Заголовок 2 Знак"/>
    <w:basedOn w:val="666"/>
    <w:link w:val="658"/>
    <w:uiPriority w:val="9"/>
    <w:rPr>
      <w:rFonts w:ascii="Arial" w:hAnsi="Arial" w:eastAsia="Arial" w:cs="Arial"/>
      <w:sz w:val="34"/>
    </w:rPr>
  </w:style>
  <w:style w:type="character" w:styleId="671" w:customStyle="1">
    <w:name w:val="Заголовок 3 Знак"/>
    <w:basedOn w:val="666"/>
    <w:link w:val="659"/>
    <w:uiPriority w:val="9"/>
    <w:rPr>
      <w:rFonts w:ascii="Arial" w:hAnsi="Arial" w:eastAsia="Arial" w:cs="Arial"/>
      <w:sz w:val="30"/>
      <w:szCs w:val="30"/>
    </w:rPr>
  </w:style>
  <w:style w:type="character" w:styleId="672" w:customStyle="1">
    <w:name w:val="Заголовок 4 Знак"/>
    <w:basedOn w:val="666"/>
    <w:link w:val="66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 w:customStyle="1">
    <w:name w:val="Заголовок 5 Знак"/>
    <w:basedOn w:val="666"/>
    <w:link w:val="66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 w:customStyle="1">
    <w:name w:val="Заголовок 6 Знак"/>
    <w:basedOn w:val="66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 w:customStyle="1">
    <w:name w:val="Заголовок 7 Знак"/>
    <w:basedOn w:val="666"/>
    <w:link w:val="6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 w:customStyle="1">
    <w:name w:val="Заголовок 8 Знак"/>
    <w:basedOn w:val="666"/>
    <w:link w:val="66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 w:customStyle="1">
    <w:name w:val="Заголовок 9 Знак"/>
    <w:basedOn w:val="666"/>
    <w:link w:val="665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656"/>
    <w:uiPriority w:val="34"/>
    <w:qFormat/>
    <w:pPr>
      <w:contextualSpacing/>
      <w:ind w:left="720"/>
    </w:pPr>
  </w:style>
  <w:style w:type="paragraph" w:styleId="679">
    <w:name w:val="No Spacing"/>
    <w:uiPriority w:val="1"/>
    <w:qFormat/>
  </w:style>
  <w:style w:type="paragraph" w:styleId="680">
    <w:name w:val="Title"/>
    <w:basedOn w:val="656"/>
    <w:next w:val="656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 w:customStyle="1">
    <w:name w:val="Название Знак"/>
    <w:basedOn w:val="666"/>
    <w:link w:val="680"/>
    <w:uiPriority w:val="10"/>
    <w:rPr>
      <w:sz w:val="48"/>
      <w:szCs w:val="48"/>
    </w:rPr>
  </w:style>
  <w:style w:type="paragraph" w:styleId="682">
    <w:name w:val="Subtitle"/>
    <w:basedOn w:val="656"/>
    <w:next w:val="656"/>
    <w:link w:val="683"/>
    <w:qFormat/>
    <w:pPr>
      <w:jc w:val="center"/>
    </w:pPr>
    <w:rPr>
      <w:i/>
      <w:iCs/>
    </w:rPr>
  </w:style>
  <w:style w:type="character" w:styleId="683" w:customStyle="1">
    <w:name w:val="Подзаголовок Знак"/>
    <w:basedOn w:val="666"/>
    <w:link w:val="682"/>
    <w:uiPriority w:val="11"/>
    <w:rPr>
      <w:sz w:val="24"/>
      <w:szCs w:val="24"/>
    </w:rPr>
  </w:style>
  <w:style w:type="paragraph" w:styleId="684">
    <w:name w:val="Quote"/>
    <w:basedOn w:val="656"/>
    <w:next w:val="656"/>
    <w:link w:val="685"/>
    <w:uiPriority w:val="29"/>
    <w:qFormat/>
    <w:pPr>
      <w:ind w:left="720" w:right="720"/>
    </w:pPr>
    <w:rPr>
      <w:i/>
    </w:rPr>
  </w:style>
  <w:style w:type="character" w:styleId="685" w:customStyle="1">
    <w:name w:val="Цитата 2 Знак"/>
    <w:link w:val="684"/>
    <w:uiPriority w:val="29"/>
    <w:rPr>
      <w:i/>
    </w:rPr>
  </w:style>
  <w:style w:type="paragraph" w:styleId="686">
    <w:name w:val="Intense Quote"/>
    <w:basedOn w:val="656"/>
    <w:next w:val="656"/>
    <w:link w:val="6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 w:customStyle="1">
    <w:name w:val="Выделенная цитата Знак"/>
    <w:link w:val="686"/>
    <w:uiPriority w:val="30"/>
    <w:rPr>
      <w:i/>
    </w:rPr>
  </w:style>
  <w:style w:type="paragraph" w:styleId="688">
    <w:name w:val="Header"/>
    <w:basedOn w:val="656"/>
    <w:link w:val="689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character" w:styleId="689" w:customStyle="1">
    <w:name w:val="Верхний колонтитул Знак"/>
    <w:basedOn w:val="666"/>
    <w:link w:val="688"/>
    <w:uiPriority w:val="99"/>
  </w:style>
  <w:style w:type="paragraph" w:styleId="690">
    <w:name w:val="Footer"/>
    <w:basedOn w:val="656"/>
    <w:link w:val="69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91" w:customStyle="1">
    <w:name w:val="Footer Char"/>
    <w:basedOn w:val="666"/>
    <w:uiPriority w:val="99"/>
  </w:style>
  <w:style w:type="paragraph" w:styleId="692">
    <w:name w:val="Caption"/>
    <w:basedOn w:val="656"/>
    <w:next w:val="656"/>
    <w:qFormat/>
    <w:pPr>
      <w:keepNext/>
      <w:spacing w:before="240" w:after="120"/>
    </w:pPr>
    <w:rPr>
      <w:rFonts w:ascii="Arial" w:hAnsi="Arial"/>
      <w:szCs w:val="28"/>
    </w:rPr>
  </w:style>
  <w:style w:type="character" w:styleId="693" w:customStyle="1">
    <w:name w:val="Нижний колонтитул Знак"/>
    <w:link w:val="690"/>
    <w:uiPriority w:val="99"/>
  </w:style>
  <w:style w:type="table" w:styleId="694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4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5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6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7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8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9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7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8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9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0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1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2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3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4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5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6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7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4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7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9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1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2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3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4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5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6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0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1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2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3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4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5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6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4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5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6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7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8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9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656"/>
    <w:link w:val="822"/>
    <w:uiPriority w:val="99"/>
    <w:semiHidden/>
    <w:unhideWhenUsed/>
    <w:pPr>
      <w:spacing w:after="40"/>
    </w:pPr>
    <w:rPr>
      <w:sz w:val="18"/>
    </w:rPr>
  </w:style>
  <w:style w:type="character" w:styleId="822" w:customStyle="1">
    <w:name w:val="Текст сноски Знак"/>
    <w:link w:val="821"/>
    <w:uiPriority w:val="99"/>
    <w:rPr>
      <w:sz w:val="18"/>
    </w:rPr>
  </w:style>
  <w:style w:type="character" w:styleId="823">
    <w:name w:val="footnote reference"/>
    <w:basedOn w:val="666"/>
    <w:uiPriority w:val="99"/>
    <w:unhideWhenUsed/>
    <w:rPr>
      <w:vertAlign w:val="superscript"/>
    </w:rPr>
  </w:style>
  <w:style w:type="paragraph" w:styleId="824">
    <w:name w:val="endnote text"/>
    <w:basedOn w:val="656"/>
    <w:link w:val="825"/>
    <w:uiPriority w:val="99"/>
    <w:semiHidden/>
    <w:unhideWhenUsed/>
    <w:rPr>
      <w:sz w:val="20"/>
    </w:rPr>
  </w:style>
  <w:style w:type="character" w:styleId="825" w:customStyle="1">
    <w:name w:val="Текст концевой сноски Знак"/>
    <w:link w:val="824"/>
    <w:uiPriority w:val="99"/>
    <w:rPr>
      <w:sz w:val="20"/>
    </w:rPr>
  </w:style>
  <w:style w:type="character" w:styleId="826">
    <w:name w:val="endnote reference"/>
    <w:basedOn w:val="666"/>
    <w:uiPriority w:val="99"/>
    <w:semiHidden/>
    <w:unhideWhenUsed/>
    <w:rPr>
      <w:vertAlign w:val="superscript"/>
    </w:rPr>
  </w:style>
  <w:style w:type="paragraph" w:styleId="827">
    <w:name w:val="toc 1"/>
    <w:basedOn w:val="656"/>
    <w:next w:val="656"/>
    <w:uiPriority w:val="39"/>
    <w:unhideWhenUsed/>
    <w:pPr>
      <w:spacing w:after="57"/>
    </w:pPr>
  </w:style>
  <w:style w:type="paragraph" w:styleId="828">
    <w:name w:val="toc 2"/>
    <w:basedOn w:val="656"/>
    <w:next w:val="656"/>
    <w:uiPriority w:val="39"/>
    <w:unhideWhenUsed/>
    <w:pPr>
      <w:ind w:left="283"/>
      <w:spacing w:after="57"/>
    </w:pPr>
  </w:style>
  <w:style w:type="paragraph" w:styleId="829">
    <w:name w:val="toc 3"/>
    <w:basedOn w:val="656"/>
    <w:next w:val="656"/>
    <w:uiPriority w:val="39"/>
    <w:unhideWhenUsed/>
    <w:pPr>
      <w:ind w:left="567"/>
      <w:spacing w:after="57"/>
    </w:pPr>
  </w:style>
  <w:style w:type="paragraph" w:styleId="830">
    <w:name w:val="toc 4"/>
    <w:basedOn w:val="656"/>
    <w:next w:val="656"/>
    <w:uiPriority w:val="39"/>
    <w:unhideWhenUsed/>
    <w:pPr>
      <w:ind w:left="850"/>
      <w:spacing w:after="57"/>
    </w:pPr>
  </w:style>
  <w:style w:type="paragraph" w:styleId="831">
    <w:name w:val="toc 5"/>
    <w:basedOn w:val="656"/>
    <w:next w:val="656"/>
    <w:uiPriority w:val="39"/>
    <w:unhideWhenUsed/>
    <w:pPr>
      <w:ind w:left="1134"/>
      <w:spacing w:after="57"/>
    </w:pPr>
  </w:style>
  <w:style w:type="paragraph" w:styleId="832">
    <w:name w:val="toc 6"/>
    <w:basedOn w:val="656"/>
    <w:next w:val="656"/>
    <w:uiPriority w:val="39"/>
    <w:unhideWhenUsed/>
    <w:pPr>
      <w:ind w:left="1417"/>
      <w:spacing w:after="57"/>
    </w:pPr>
  </w:style>
  <w:style w:type="paragraph" w:styleId="833">
    <w:name w:val="toc 7"/>
    <w:basedOn w:val="656"/>
    <w:next w:val="656"/>
    <w:uiPriority w:val="39"/>
    <w:unhideWhenUsed/>
    <w:pPr>
      <w:ind w:left="1701"/>
      <w:spacing w:after="57"/>
    </w:pPr>
  </w:style>
  <w:style w:type="paragraph" w:styleId="834">
    <w:name w:val="toc 8"/>
    <w:basedOn w:val="656"/>
    <w:next w:val="656"/>
    <w:uiPriority w:val="39"/>
    <w:unhideWhenUsed/>
    <w:pPr>
      <w:ind w:left="1984"/>
      <w:spacing w:after="57"/>
    </w:pPr>
  </w:style>
  <w:style w:type="paragraph" w:styleId="835">
    <w:name w:val="toc 9"/>
    <w:basedOn w:val="656"/>
    <w:next w:val="656"/>
    <w:uiPriority w:val="39"/>
    <w:unhideWhenUsed/>
    <w:pPr>
      <w:ind w:left="2268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656"/>
    <w:next w:val="656"/>
    <w:uiPriority w:val="99"/>
    <w:unhideWhenUsed/>
  </w:style>
  <w:style w:type="character" w:styleId="838" w:customStyle="1">
    <w:name w:val="Основной шрифт абзаца1"/>
  </w:style>
  <w:style w:type="character" w:styleId="839" w:customStyle="1">
    <w:name w:val="Маркеры списка"/>
    <w:rPr>
      <w:rFonts w:ascii="OpenSymbol" w:hAnsi="OpenSymbol" w:eastAsia="OpenSymbol" w:cs="OpenSymbol"/>
    </w:rPr>
  </w:style>
  <w:style w:type="character" w:styleId="840" w:customStyle="1">
    <w:name w:val="Zeichenformat"/>
  </w:style>
  <w:style w:type="paragraph" w:styleId="841" w:customStyle="1">
    <w:name w:val="Заголовок"/>
    <w:basedOn w:val="656"/>
    <w:next w:val="842"/>
    <w:pPr>
      <w:keepNext/>
      <w:spacing w:before="240" w:after="120"/>
    </w:pPr>
    <w:rPr>
      <w:rFonts w:ascii="Liberation Sans" w:hAnsi="Liberation Sans" w:eastAsia="Microsoft YaHei"/>
      <w:szCs w:val="28"/>
    </w:rPr>
  </w:style>
  <w:style w:type="paragraph" w:styleId="842">
    <w:name w:val="Body Text"/>
    <w:basedOn w:val="656"/>
    <w:rPr>
      <w:sz w:val="21"/>
    </w:rPr>
  </w:style>
  <w:style w:type="paragraph" w:styleId="843" w:customStyle="1">
    <w:name w:val="Обычный1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bidi="hi-IN"/>
    </w:rPr>
  </w:style>
  <w:style w:type="paragraph" w:styleId="844">
    <w:name w:val="List"/>
    <w:basedOn w:val="842"/>
    <w:rPr>
      <w:rFonts w:ascii="Arial" w:hAnsi="Arial"/>
      <w:sz w:val="24"/>
    </w:rPr>
  </w:style>
  <w:style w:type="paragraph" w:styleId="845" w:customStyle="1">
    <w:name w:val="Название объекта1"/>
    <w:basedOn w:val="656"/>
    <w:pPr>
      <w:spacing w:after="119"/>
      <w:suppressLineNumbers/>
    </w:pPr>
    <w:rPr>
      <w:i/>
      <w:iCs/>
    </w:rPr>
  </w:style>
  <w:style w:type="paragraph" w:styleId="846" w:customStyle="1">
    <w:name w:val="Указатель1"/>
    <w:basedOn w:val="656"/>
    <w:pPr>
      <w:suppressLineNumbers/>
    </w:pPr>
    <w:rPr>
      <w:rFonts w:ascii="Arial" w:hAnsi="Arial"/>
      <w:sz w:val="24"/>
    </w:rPr>
  </w:style>
  <w:style w:type="paragraph" w:styleId="847" w:customStyle="1">
    <w:name w:val="Верхний колонтитул справа"/>
    <w:basedOn w:val="656"/>
    <w:pPr>
      <w:tabs>
        <w:tab w:val="center" w:pos="5102" w:leader="none"/>
        <w:tab w:val="right" w:pos="10205" w:leader="none"/>
      </w:tabs>
      <w:suppressLineNumbers/>
    </w:pPr>
  </w:style>
  <w:style w:type="paragraph" w:styleId="848" w:customStyle="1">
    <w:name w:val="Верхний колонтитул слева"/>
    <w:basedOn w:val="656"/>
    <w:pPr>
      <w:tabs>
        <w:tab w:val="center" w:pos="5102" w:leader="none"/>
        <w:tab w:val="right" w:pos="10205" w:leader="none"/>
      </w:tabs>
      <w:suppressLineNumbers/>
    </w:pPr>
  </w:style>
  <w:style w:type="paragraph" w:styleId="849" w:customStyle="1">
    <w:name w:val="Горизонтальная линия"/>
    <w:basedOn w:val="656"/>
    <w:next w:val="842"/>
    <w:pPr>
      <w:spacing w:after="283"/>
      <w:suppressLineNumbers/>
    </w:pPr>
    <w:rPr>
      <w:sz w:val="12"/>
      <w:szCs w:val="12"/>
    </w:rPr>
  </w:style>
  <w:style w:type="paragraph" w:styleId="850">
    <w:name w:val="Body Text Indent"/>
    <w:basedOn w:val="842"/>
    <w:pPr>
      <w:ind w:left="283"/>
    </w:pPr>
  </w:style>
  <w:style w:type="paragraph" w:styleId="851">
    <w:name w:val="Body Text First Indent"/>
    <w:basedOn w:val="842"/>
    <w:pPr>
      <w:ind w:firstLine="709"/>
    </w:pPr>
  </w:style>
  <w:style w:type="paragraph" w:styleId="852" w:customStyle="1">
    <w:name w:val="Таблица"/>
    <w:basedOn w:val="845"/>
  </w:style>
  <w:style w:type="paragraph" w:styleId="853" w:customStyle="1">
    <w:name w:val="Текст1"/>
    <w:basedOn w:val="845"/>
  </w:style>
  <w:style w:type="paragraph" w:styleId="854" w:customStyle="1">
    <w:name w:val="Содержимое таблицы"/>
    <w:basedOn w:val="656"/>
    <w:pPr>
      <w:suppressLineNumbers/>
    </w:pPr>
  </w:style>
  <w:style w:type="paragraph" w:styleId="855" w:customStyle="1">
    <w:name w:val="Текст шапки"/>
    <w:basedOn w:val="842"/>
    <w:pPr>
      <w:jc w:val="center"/>
    </w:pPr>
    <w:rPr>
      <w:b/>
      <w:bCs/>
      <w:sz w:val="30"/>
      <w:szCs w:val="30"/>
    </w:rPr>
  </w:style>
  <w:style w:type="paragraph" w:styleId="856" w:customStyle="1">
    <w:name w:val="Подпись_дол+ФИО"/>
    <w:basedOn w:val="842"/>
    <w:next w:val="851"/>
    <w:pPr>
      <w:jc w:val="left"/>
      <w:tabs>
        <w:tab w:val="right" w:pos="10035" w:leader="none"/>
      </w:tabs>
    </w:pPr>
    <w:rPr>
      <w:sz w:val="28"/>
    </w:rPr>
  </w:style>
  <w:style w:type="paragraph" w:styleId="857" w:customStyle="1">
    <w:name w:val="Содержимое врезки"/>
    <w:basedOn w:val="842"/>
  </w:style>
  <w:style w:type="paragraph" w:styleId="858">
    <w:name w:val="Signature"/>
    <w:basedOn w:val="842"/>
    <w:pPr>
      <w:suppressLineNumbers/>
    </w:pPr>
  </w:style>
  <w:style w:type="paragraph" w:styleId="859" w:customStyle="1">
    <w:name w:val="ПодписьСогл_дол+ФИО"/>
    <w:basedOn w:val="856"/>
    <w:rPr>
      <w:sz w:val="24"/>
    </w:rPr>
  </w:style>
  <w:style w:type="paragraph" w:styleId="860" w:customStyle="1">
    <w:name w:val="Текст в заданном формате"/>
    <w:basedOn w:val="656"/>
    <w:rPr>
      <w:rFonts w:ascii="Courier New" w:hAnsi="Courier New" w:eastAsia="Courier New" w:cs="Courier New"/>
      <w:sz w:val="20"/>
      <w:szCs w:val="20"/>
    </w:rPr>
  </w:style>
  <w:style w:type="paragraph" w:styleId="861" w:customStyle="1">
    <w:name w:val="DocumentMap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Calibri" w:hAnsi="Calibri" w:eastAsia="Calibri" w:cs="Calibri"/>
      <w:lang w:eastAsia="ru-RU"/>
    </w:rPr>
  </w:style>
  <w:style w:type="paragraph" w:styleId="862" w:customStyle="1">
    <w:name w:val="Основной текст с отступом1"/>
    <w:basedOn w:val="656"/>
    <w:pPr>
      <w:ind w:firstLine="709"/>
      <w:widowControl w:val="off"/>
    </w:pPr>
    <w:rPr>
      <w:rFonts w:cs="Times New Roman"/>
      <w:sz w:val="21"/>
    </w:rPr>
  </w:style>
  <w:style w:type="paragraph" w:styleId="863" w:customStyle="1">
    <w:name w:val="Standard"/>
    <w:qFormat/>
    <w:pPr>
      <w:jc w:val="both"/>
      <w:widowControl w:val="off"/>
    </w:pPr>
    <w:rPr>
      <w:rFonts w:eastAsia="Lucida Sans Unicode" w:cs="Mangal"/>
      <w:sz w:val="28"/>
      <w:szCs w:val="24"/>
      <w:lang w:bidi="hi-IN"/>
    </w:rPr>
  </w:style>
  <w:style w:type="paragraph" w:styleId="864">
    <w:name w:val="Balloon Text"/>
    <w:basedOn w:val="656"/>
    <w:link w:val="865"/>
    <w:uiPriority w:val="99"/>
    <w:semiHidden/>
    <w:unhideWhenUsed/>
    <w:rPr>
      <w:rFonts w:ascii="Tahoma" w:hAnsi="Tahoma"/>
      <w:sz w:val="16"/>
      <w:szCs w:val="14"/>
    </w:rPr>
  </w:style>
  <w:style w:type="character" w:styleId="865" w:customStyle="1">
    <w:name w:val="Текст выноски Знак"/>
    <w:link w:val="864"/>
    <w:uiPriority w:val="99"/>
    <w:semiHidden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1_674" w:customStyle="1">
    <w:name w:val="Normal (Web)"/>
    <w:basedOn w:val="672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19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vetadmin</dc:creator>
  <cp:revision>18</cp:revision>
  <dcterms:created xsi:type="dcterms:W3CDTF">2025-04-29T07:08:00Z</dcterms:created>
  <dcterms:modified xsi:type="dcterms:W3CDTF">2026-09-21T05:02:48Z</dcterms:modified>
  <cp:version>917504</cp:version>
</cp:coreProperties>
</file>