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11057" w:hanging="992"/>
        <w:spacing w:after="0" w:line="240" w:lineRule="auto"/>
        <w:tabs>
          <w:tab w:val="left" w:pos="11340" w:leader="none"/>
          <w:tab w:val="left" w:pos="13183" w:leader="none"/>
          <w:tab w:val="left" w:pos="13325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УТВЕРЖДЕН</w:t>
      </w:r>
      <w:r/>
    </w:p>
    <w:p>
      <w:pPr>
        <w:ind w:firstLine="10065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И.о</w:t>
      </w:r>
      <w:r>
        <w:rPr>
          <w:rFonts w:ascii="PT Astra Serif" w:hAnsi="PT Astra Serif"/>
          <w:sz w:val="24"/>
          <w:szCs w:val="24"/>
        </w:rPr>
        <w:t xml:space="preserve">. н</w:t>
      </w:r>
      <w:r>
        <w:rPr>
          <w:rFonts w:ascii="PT Astra Serif" w:hAnsi="PT Astra Serif"/>
          <w:sz w:val="24"/>
          <w:szCs w:val="24"/>
        </w:rPr>
        <w:t xml:space="preserve">ачальник</w:t>
      </w:r>
      <w:r>
        <w:rPr>
          <w:rFonts w:ascii="PT Astra Serif" w:hAnsi="PT Astra Serif"/>
          <w:sz w:val="24"/>
          <w:szCs w:val="24"/>
        </w:rPr>
        <w:t xml:space="preserve">а </w:t>
      </w:r>
      <w:r>
        <w:rPr>
          <w:rFonts w:ascii="PT Astra Serif" w:hAnsi="PT Astra Serif"/>
          <w:sz w:val="24"/>
          <w:szCs w:val="24"/>
        </w:rPr>
        <w:t xml:space="preserve">Департамента ветеринарии</w:t>
      </w:r>
      <w:r/>
    </w:p>
    <w:p>
      <w:pPr>
        <w:ind w:firstLine="10065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Томской области</w:t>
      </w:r>
      <w:r/>
    </w:p>
    <w:p>
      <w:pPr>
        <w:ind w:firstLine="10065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_________________</w:t>
      </w:r>
      <w:r>
        <w:rPr>
          <w:rFonts w:ascii="PT Astra Serif" w:hAnsi="PT Astra Serif"/>
          <w:sz w:val="24"/>
          <w:szCs w:val="24"/>
        </w:rPr>
        <w:t xml:space="preserve">Е.В. </w:t>
      </w:r>
      <w:r>
        <w:rPr>
          <w:rFonts w:ascii="PT Astra Serif" w:hAnsi="PT Astra Serif"/>
          <w:sz w:val="24"/>
          <w:szCs w:val="24"/>
        </w:rPr>
        <w:t xml:space="preserve">Гынгазова</w:t>
      </w:r>
      <w:r/>
    </w:p>
    <w:p>
      <w:pPr>
        <w:ind w:firstLine="10065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ind w:firstLine="10065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«04»</w:t>
      </w:r>
      <w:r>
        <w:rPr>
          <w:rFonts w:ascii="PT Astra Serif" w:hAnsi="PT Astra Serif"/>
          <w:sz w:val="24"/>
          <w:szCs w:val="24"/>
        </w:rPr>
        <w:t xml:space="preserve"> июня 202</w:t>
      </w:r>
      <w:r>
        <w:rPr>
          <w:rFonts w:ascii="PT Astra Serif" w:hAnsi="PT Astra Serif"/>
          <w:sz w:val="24"/>
          <w:szCs w:val="24"/>
        </w:rPr>
        <w:t xml:space="preserve">6 года</w:t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jc w:val="center"/>
        <w:spacing w:after="0" w:line="240" w:lineRule="auto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План проверок на </w:t>
      </w:r>
      <w:r>
        <w:rPr>
          <w:rFonts w:ascii="PT Astra Serif" w:hAnsi="PT Astra Serif"/>
          <w:b/>
          <w:sz w:val="24"/>
          <w:szCs w:val="24"/>
        </w:rPr>
        <w:t xml:space="preserve">2 полугодие 202</w:t>
      </w:r>
      <w:r>
        <w:rPr>
          <w:rFonts w:ascii="PT Astra Serif" w:hAnsi="PT Astra Serif"/>
          <w:b/>
          <w:sz w:val="24"/>
          <w:szCs w:val="24"/>
        </w:rPr>
        <w:t xml:space="preserve">6</w:t>
      </w:r>
      <w:r>
        <w:rPr>
          <w:rFonts w:ascii="PT Astra Serif" w:hAnsi="PT Astra Serif"/>
          <w:b/>
          <w:sz w:val="24"/>
          <w:szCs w:val="24"/>
        </w:rPr>
        <w:t xml:space="preserve"> года</w:t>
      </w:r>
      <w:r/>
    </w:p>
    <w:p>
      <w:pPr>
        <w:jc w:val="center"/>
        <w:spacing w:after="0" w:line="240" w:lineRule="auto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в</w:t>
      </w:r>
      <w:r>
        <w:rPr>
          <w:rFonts w:ascii="PT Astra Serif" w:hAnsi="PT Astra Serif"/>
          <w:b/>
          <w:sz w:val="24"/>
          <w:szCs w:val="24"/>
        </w:rPr>
        <w:t xml:space="preserve"> рамках</w:t>
      </w:r>
      <w:r>
        <w:rPr>
          <w:rFonts w:ascii="PT Astra Serif" w:hAnsi="PT Astra Serif"/>
          <w:b/>
          <w:sz w:val="24"/>
          <w:szCs w:val="24"/>
        </w:rPr>
        <w:t xml:space="preserve"> осуществления</w:t>
      </w:r>
      <w:r>
        <w:rPr>
          <w:rFonts w:ascii="PT Astra Serif" w:hAnsi="PT Astra Serif"/>
          <w:b/>
          <w:sz w:val="24"/>
          <w:szCs w:val="24"/>
        </w:rPr>
        <w:t xml:space="preserve"> Департамент</w:t>
      </w:r>
      <w:r>
        <w:rPr>
          <w:rFonts w:ascii="PT Astra Serif" w:hAnsi="PT Astra Serif"/>
          <w:b/>
          <w:sz w:val="24"/>
          <w:szCs w:val="24"/>
        </w:rPr>
        <w:t xml:space="preserve">ом</w:t>
      </w:r>
      <w:r>
        <w:rPr>
          <w:rFonts w:ascii="PT Astra Serif" w:hAnsi="PT Astra Serif"/>
          <w:b/>
          <w:sz w:val="24"/>
          <w:szCs w:val="24"/>
        </w:rPr>
        <w:t xml:space="preserve"> ветеринарии Томской области ведомственного контроля за соблюдением требований </w:t>
      </w:r>
      <w:r/>
    </w:p>
    <w:p>
      <w:pPr>
        <w:jc w:val="center"/>
        <w:spacing w:after="0" w:line="240" w:lineRule="auto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Федерального закона от 18.07.2011 № 223-ФЗ «О закупках товаров, работ, услуг отдельными видами юридических лиц» и иных принятых в соответствии с ним нормативн</w:t>
      </w:r>
      <w:r>
        <w:rPr>
          <w:rFonts w:ascii="PT Astra Serif" w:hAnsi="PT Astra Serif"/>
          <w:b/>
          <w:sz w:val="24"/>
          <w:szCs w:val="24"/>
        </w:rPr>
        <w:t xml:space="preserve">ых</w:t>
      </w:r>
      <w:r>
        <w:rPr>
          <w:rFonts w:ascii="PT Astra Serif" w:hAnsi="PT Astra Serif"/>
          <w:b/>
          <w:sz w:val="24"/>
          <w:szCs w:val="24"/>
        </w:rPr>
        <w:t xml:space="preserve"> правовых актов Российской Федерации в отношении подведомственных ему </w:t>
      </w:r>
      <w:r>
        <w:rPr>
          <w:rFonts w:ascii="PT Astra Serif" w:hAnsi="PT Astra Serif"/>
          <w:b/>
          <w:sz w:val="24"/>
          <w:szCs w:val="24"/>
        </w:rPr>
        <w:t xml:space="preserve">заказчиков</w:t>
      </w:r>
      <w:r/>
    </w:p>
    <w:p>
      <w:pPr>
        <w:jc w:val="center"/>
        <w:spacing w:after="0" w:line="240" w:lineRule="auto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Орган ведомственного контроля – Департамент ветеринарии Томской области</w:t>
      </w:r>
      <w:r/>
    </w:p>
    <w:p>
      <w:pPr>
        <w:jc w:val="center"/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Style w:val="816"/>
        <w:tblW w:w="0" w:type="auto"/>
        <w:tblLook w:val="04A0" w:firstRow="1" w:lastRow="0" w:firstColumn="1" w:lastColumn="0" w:noHBand="0" w:noVBand="1"/>
      </w:tblPr>
      <w:tblGrid>
        <w:gridCol w:w="541"/>
        <w:gridCol w:w="5837"/>
        <w:gridCol w:w="2688"/>
        <w:gridCol w:w="3043"/>
        <w:gridCol w:w="3018"/>
      </w:tblGrid>
      <w:tr>
        <w:trPr>
          <w:trHeight w:val="503"/>
        </w:trPr>
        <w:tc>
          <w:tcPr>
            <w:tcW w:w="5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</w:t>
            </w:r>
            <w:r/>
          </w:p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п/п</w:t>
            </w:r>
            <w:r/>
          </w:p>
        </w:tc>
        <w:tc>
          <w:tcPr>
            <w:tcW w:w="58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Реквизиты подведомственных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заказчиков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в отношении которых принято решение о проведении проверки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(наименование, ИНН, адрес)</w:t>
            </w:r>
            <w:r/>
          </w:p>
        </w:tc>
        <w:tc>
          <w:tcPr>
            <w:tcW w:w="26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Проверяемый период</w:t>
            </w:r>
            <w:r/>
          </w:p>
        </w:tc>
        <w:tc>
          <w:tcPr>
            <w:tcW w:w="30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Предмет проверки</w:t>
            </w:r>
            <w:r/>
          </w:p>
        </w:tc>
        <w:tc>
          <w:tcPr>
            <w:tcW w:w="30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Месяц начала проведения проверки</w:t>
            </w:r>
            <w:r/>
          </w:p>
        </w:tc>
      </w:tr>
      <w:tr>
        <w:trPr>
          <w:trHeight w:val="503"/>
        </w:trPr>
        <w:tc>
          <w:tcPr>
            <w:tcW w:w="54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1.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</w:r>
            <w:r/>
          </w:p>
        </w:tc>
        <w:tc>
          <w:tcPr>
            <w:tcW w:w="5837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автономное учреждение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Каргасокское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районное ветеринарное управление»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ИНН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7006005791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;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636700, Томская область, Каргасокский р-н, с. Каргасок, ул. Трактовая, д.63 Б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  <w14:ligatures w14:val="none"/>
              </w:rPr>
            </w:r>
            <w:r/>
          </w:p>
        </w:tc>
        <w:tc>
          <w:tcPr>
            <w:tcW w:w="268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01.01.20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–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30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06.202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30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Соблюдение требований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Федерального закона от 18.07.2011 № 223-ФЗ «О закупках товаров работ, услуг отдельными видами юридических лиц» и иных принятых в соответствии с ним нормативных правовых актов Российской Федерации, правового акта заказчика, регламентирующего правила закупки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30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Июль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1575"/>
        </w:trPr>
        <w:tc>
          <w:tcPr>
            <w:tcW w:w="5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2.</w:t>
            </w:r>
            <w:r/>
          </w:p>
        </w:tc>
        <w:tc>
          <w:tcPr>
            <w:tcW w:w="5837" w:type="dxa"/>
            <w:vAlign w:val="center"/>
            <w:textDirection w:val="lrTb"/>
            <w:noWrap w:val="false"/>
          </w:tcPr>
          <w:p>
            <w:pPr>
              <w:rPr>
                <w:rFonts w:cs="Arial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автономное учреждение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Зырянское межрайонное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ветеринарное управление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»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ИНН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7005005943</w:t>
            </w:r>
            <w:r>
              <w:rPr>
                <w:rFonts w:ascii="PT Astra Serif" w:hAnsi="PT Astra Serif"/>
                <w:sz w:val="24"/>
                <w:szCs w:val="24"/>
              </w:rPr>
              <w:t xml:space="preserve">;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636850, Томская область, Зырянский район, с. Зырянское, ул.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Ветучасток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д. 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</w:t>
            </w:r>
            <w:r/>
          </w:p>
        </w:tc>
        <w:tc>
          <w:tcPr>
            <w:tcW w:w="26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  <w:t xml:space="preserve">01.01.20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–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31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08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.202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30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Соблюдение требований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Федерального закона от 18.07.2011 № 223-ФЗ «О закупках товаров работ, услуг отдельными видами юридических лиц» и иных принятых в соответствии с ним нормативных правовых актов Российской Федерации, правового акта заказчика, регламентирующего правила закупки</w:t>
            </w:r>
            <w:r/>
          </w:p>
        </w:tc>
        <w:tc>
          <w:tcPr>
            <w:tcW w:w="30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Сентябрь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2026 года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1575"/>
        </w:trPr>
        <w:tc>
          <w:tcPr>
            <w:tcW w:w="5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3.</w:t>
            </w:r>
            <w:r/>
          </w:p>
        </w:tc>
        <w:tc>
          <w:tcPr>
            <w:tcW w:w="583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  <w:shd w:val="clear" w:color="auto" w:fill="ffffff"/>
                <w14:ligatures w14:val="none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автономное учреждение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Парабельское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районное ветеринарное управление»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ИН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Н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7011003221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;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636600, Томская область, Парабельский р-н, с. Парабель, ул. Школьная, д. 14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26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01.01.20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–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31.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10.202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/>
          </w:p>
        </w:tc>
        <w:tc>
          <w:tcPr>
            <w:tcW w:w="30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Соблюдение требований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Федерального закона от 18.07.2011 № 223-ФЗ «О закупках товаров работ, услуг отдельными видами юридических лиц» и иных принятых в соответствии с ним нормативных правовых актов Российской Федерации, правового акта заказчика, регламентирующего правила закупки</w:t>
            </w:r>
            <w:r/>
          </w:p>
        </w:tc>
        <w:tc>
          <w:tcPr>
            <w:tcW w:w="30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/>
            <w:bookmarkStart w:id="0" w:name="_GoBack"/>
            <w:r/>
            <w:bookmarkEnd w:id="0"/>
            <w:r>
              <w:rPr>
                <w:rFonts w:ascii="PT Astra Serif" w:hAnsi="PT Astra Serif"/>
                <w:sz w:val="24"/>
                <w:szCs w:val="24"/>
              </w:rPr>
              <w:t xml:space="preserve">Ноябрь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2026 года</w:t>
            </w:r>
            <w:r/>
          </w:p>
        </w:tc>
      </w:tr>
    </w:tbl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818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Анна Владимировна</w:t>
      </w:r>
      <w:r>
        <w:rPr>
          <w:rFonts w:ascii="PT Astra Serif" w:hAnsi="PT Astra Serif"/>
          <w:sz w:val="16"/>
          <w:szCs w:val="16"/>
        </w:rPr>
        <w:t xml:space="preserve"> Кривенко</w:t>
      </w:r>
      <w:r/>
    </w:p>
    <w:p>
      <w:pPr>
        <w:pStyle w:val="818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(3822) 900-272 д</w:t>
      </w:r>
      <w:r>
        <w:rPr>
          <w:rFonts w:ascii="PT Astra Serif" w:hAnsi="PT Astra Serif"/>
          <w:sz w:val="16"/>
          <w:szCs w:val="16"/>
        </w:rPr>
        <w:t xml:space="preserve">об</w:t>
      </w:r>
      <w:r>
        <w:rPr>
          <w:rFonts w:ascii="PT Astra Serif" w:hAnsi="PT Astra Serif"/>
          <w:sz w:val="16"/>
          <w:szCs w:val="16"/>
        </w:rPr>
        <w:t xml:space="preserve">. 5</w:t>
      </w:r>
      <w:r>
        <w:rPr>
          <w:rFonts w:ascii="PT Astra Serif" w:hAnsi="PT Astra Serif"/>
          <w:sz w:val="16"/>
          <w:szCs w:val="16"/>
        </w:rPr>
        <w:t xml:space="preserve">6</w:t>
      </w:r>
      <w:r/>
    </w:p>
    <w:p>
      <w:pPr>
        <w:pStyle w:val="818"/>
        <w:rPr>
          <w:sz w:val="16"/>
          <w:szCs w:val="16"/>
        </w:rPr>
      </w:pPr>
      <w:r/>
      <w:hyperlink r:id="rId9" w:tooltip="mailto:cav@gsvt.tomsk.ru" w:history="1">
        <w:r>
          <w:rPr>
            <w:rStyle w:val="817"/>
            <w:rFonts w:ascii="PT Astra Serif" w:hAnsi="PT Astra Serif"/>
            <w:sz w:val="16"/>
            <w:szCs w:val="16"/>
            <w:lang w:val="en-US"/>
          </w:rPr>
          <w:t xml:space="preserve">cav</w:t>
        </w:r>
        <w:r>
          <w:rPr>
            <w:rStyle w:val="817"/>
            <w:rFonts w:ascii="PT Astra Serif" w:hAnsi="PT Astra Serif"/>
            <w:sz w:val="16"/>
            <w:szCs w:val="16"/>
          </w:rPr>
          <w:t xml:space="preserve">@</w:t>
        </w:r>
        <w:r>
          <w:rPr>
            <w:rStyle w:val="817"/>
            <w:rFonts w:ascii="PT Astra Serif" w:hAnsi="PT Astra Serif"/>
            <w:sz w:val="16"/>
            <w:szCs w:val="16"/>
            <w:lang w:val="en-US"/>
          </w:rPr>
          <w:t xml:space="preserve">gsvt</w:t>
        </w:r>
        <w:r>
          <w:rPr>
            <w:rStyle w:val="817"/>
            <w:rFonts w:ascii="PT Astra Serif" w:hAnsi="PT Astra Serif"/>
            <w:sz w:val="16"/>
            <w:szCs w:val="16"/>
          </w:rPr>
          <w:t xml:space="preserve">.</w:t>
        </w:r>
        <w:r>
          <w:rPr>
            <w:rStyle w:val="817"/>
            <w:rFonts w:ascii="PT Astra Serif" w:hAnsi="PT Astra Serif"/>
            <w:sz w:val="16"/>
            <w:szCs w:val="16"/>
            <w:lang w:val="en-US"/>
          </w:rPr>
          <w:t xml:space="preserve">tomsk</w:t>
        </w:r>
        <w:r>
          <w:rPr>
            <w:rStyle w:val="817"/>
            <w:rFonts w:ascii="PT Astra Serif" w:hAnsi="PT Astra Serif"/>
            <w:sz w:val="16"/>
            <w:szCs w:val="16"/>
          </w:rPr>
          <w:t xml:space="preserve">.</w:t>
        </w:r>
        <w:r>
          <w:rPr>
            <w:rStyle w:val="817"/>
            <w:rFonts w:ascii="PT Astra Serif" w:hAnsi="PT Astra Serif"/>
            <w:sz w:val="16"/>
            <w:szCs w:val="16"/>
            <w:lang w:val="en-US"/>
          </w:rPr>
          <w:t xml:space="preserve">ru</w:t>
        </w:r>
      </w:hyperlink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818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821"/>
        <w:jc w:val="left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highlight w:val="none"/>
        </w:rPr>
      </w:r>
      <w:r>
        <w:rPr>
          <w:rFonts w:ascii="PT Astra Serif" w:hAnsi="PT Astra Serif" w:cs="Times New Roman"/>
          <w:sz w:val="24"/>
          <w:highlight w:val="none"/>
        </w:rPr>
      </w:r>
      <w:r/>
    </w:p>
    <w:p>
      <w:pPr>
        <w:pStyle w:val="821"/>
        <w:jc w:val="left"/>
        <w:rPr>
          <w:rFonts w:ascii="PT Astra Serif" w:hAnsi="PT Astra Serif" w:cs="Times New Roman"/>
          <w:sz w:val="24"/>
          <w:szCs w:val="24"/>
          <w:highlight w:val="none"/>
        </w:rPr>
      </w:pPr>
      <w:r>
        <w:rPr>
          <w:rFonts w:ascii="PT Astra Serif" w:hAnsi="PT Astra Serif" w:cs="Times New Roman"/>
          <w:sz w:val="24"/>
          <w:highlight w:val="none"/>
        </w:rPr>
      </w:r>
      <w:r>
        <w:rPr>
          <w:rFonts w:ascii="PT Astra Serif" w:hAnsi="PT Astra Serif" w:cs="Times New Roman"/>
          <w:sz w:val="24"/>
          <w:highlight w:val="none"/>
        </w:rPr>
      </w:r>
      <w:r/>
    </w:p>
    <w:p>
      <w:pPr>
        <w:pStyle w:val="821"/>
        <w:jc w:val="left"/>
        <w:rPr>
          <w:rFonts w:ascii="PT Astra Serif" w:hAnsi="PT Astra Serif" w:cs="Times New Roman"/>
          <w:sz w:val="24"/>
          <w:szCs w:val="24"/>
          <w:highlight w:val="none"/>
        </w:rPr>
      </w:pPr>
      <w:r>
        <w:rPr>
          <w:rFonts w:ascii="PT Astra Serif" w:hAnsi="PT Astra Serif" w:cs="Times New Roman"/>
          <w:sz w:val="24"/>
        </w:rPr>
        <w:t xml:space="preserve">                             </w:t>
      </w:r>
      <w:r/>
    </w:p>
    <w:p>
      <w:pPr>
        <w:pStyle w:val="822"/>
        <w:rPr>
          <w:rFonts w:ascii="PT Astra Serif" w:hAnsi="PT Astra Serif" w:cs="Times New Roman"/>
          <w:sz w:val="24"/>
        </w:rPr>
      </w:pPr>
      <w:r>
        <w:rPr>
          <w:rFonts w:ascii="PT Astra Serif" w:hAnsi="PT Astra Serif" w:cs="Times New Roman"/>
          <w:sz w:val="24"/>
        </w:rPr>
      </w:r>
      <w:r/>
    </w:p>
    <w:p>
      <w:pPr>
        <w:pStyle w:val="822"/>
        <w:rPr>
          <w:rFonts w:ascii="PT Astra Serif" w:hAnsi="PT Astra Serif" w:cs="Times New Roman"/>
          <w:sz w:val="24"/>
        </w:rPr>
      </w:pPr>
      <w:r>
        <w:rPr>
          <w:rFonts w:ascii="PT Astra Serif" w:hAnsi="PT Astra Serif" w:cs="Times New Roman"/>
          <w:sz w:val="24"/>
        </w:rPr>
      </w:r>
      <w:r/>
    </w:p>
    <w:p>
      <w:pPr>
        <w:pStyle w:val="821"/>
        <w:tabs>
          <w:tab w:val="left" w:pos="6945" w:leader="none"/>
        </w:tabs>
        <w:rPr>
          <w:rFonts w:ascii="PT Astra Serif" w:hAnsi="PT Astra Serif" w:cs="Times New Roman"/>
          <w:sz w:val="24"/>
        </w:rPr>
      </w:pPr>
      <w:r>
        <w:rPr>
          <w:rFonts w:ascii="PT Astra Serif" w:hAnsi="PT Astra Serif" w:cs="Times New Roman"/>
          <w:sz w:val="24"/>
        </w:rPr>
        <w:t xml:space="preserve">Заместитель председателя комитета</w:t>
      </w:r>
      <w:r/>
    </w:p>
    <w:p>
      <w:pPr>
        <w:pStyle w:val="821"/>
        <w:jc w:val="left"/>
        <w:tabs>
          <w:tab w:val="left" w:pos="6945" w:leader="none"/>
        </w:tabs>
        <w:rPr>
          <w:rFonts w:ascii="PT Astra Serif" w:hAnsi="PT Astra Serif" w:cs="Times New Roman"/>
          <w:sz w:val="24"/>
        </w:rPr>
      </w:pPr>
      <w:r>
        <w:rPr>
          <w:rFonts w:ascii="PT Astra Serif" w:hAnsi="PT Astra Serif" w:cs="Times New Roman"/>
          <w:sz w:val="24"/>
        </w:rPr>
        <w:t xml:space="preserve">правового и информационно-аналитического обеспечения                                                                    </w:t>
      </w:r>
      <w:r>
        <w:rPr>
          <w:rFonts w:ascii="PT Astra Serif" w:hAnsi="PT Astra Serif" w:cs="Times New Roman"/>
          <w:sz w:val="24"/>
        </w:rPr>
        <w:tab/>
      </w:r>
      <w:r>
        <w:rPr>
          <w:rFonts w:ascii="PT Astra Serif" w:hAnsi="PT Astra Serif" w:cs="Times New Roman"/>
          <w:sz w:val="24"/>
        </w:rPr>
        <w:tab/>
      </w:r>
      <w:r>
        <w:rPr>
          <w:rFonts w:ascii="PT Astra Serif" w:hAnsi="PT Astra Serif" w:cs="Times New Roman"/>
          <w:sz w:val="24"/>
        </w:rPr>
        <w:tab/>
      </w:r>
      <w:r>
        <w:rPr>
          <w:rFonts w:ascii="PT Astra Serif" w:hAnsi="PT Astra Serif" w:cs="Times New Roman"/>
          <w:sz w:val="24"/>
        </w:rPr>
        <w:t xml:space="preserve">             </w:t>
      </w:r>
      <w:r>
        <w:rPr>
          <w:rFonts w:ascii="PT Astra Serif" w:hAnsi="PT Astra Serif" w:cs="Times New Roman"/>
          <w:sz w:val="24"/>
        </w:rPr>
        <w:t xml:space="preserve">     </w:t>
      </w:r>
      <w:r>
        <w:rPr>
          <w:rFonts w:ascii="PT Astra Serif" w:hAnsi="PT Astra Serif" w:cs="Times New Roman"/>
          <w:sz w:val="24"/>
        </w:rPr>
        <w:tab/>
      </w:r>
      <w:r>
        <w:rPr>
          <w:rFonts w:ascii="PT Astra Serif" w:hAnsi="PT Astra Serif" w:cs="Times New Roman"/>
          <w:sz w:val="24"/>
        </w:rPr>
        <w:t xml:space="preserve">  </w:t>
      </w:r>
      <w:r>
        <w:rPr>
          <w:rFonts w:ascii="PT Astra Serif" w:hAnsi="PT Astra Serif" w:cs="Times New Roman"/>
          <w:sz w:val="24"/>
        </w:rPr>
        <w:t xml:space="preserve"> </w:t>
      </w:r>
      <w:r>
        <w:rPr>
          <w:rFonts w:ascii="PT Astra Serif" w:hAnsi="PT Astra Serif" w:cs="Times New Roman"/>
          <w:sz w:val="24"/>
        </w:rPr>
        <w:t xml:space="preserve">Н.М.Ильева</w:t>
      </w:r>
      <w:r>
        <w:rPr>
          <w:rFonts w:ascii="PT Astra Serif" w:hAnsi="PT Astra Serif" w:cs="Times New Roman"/>
          <w:sz w:val="24"/>
        </w:rPr>
        <w:t xml:space="preserve">                                                                                   </w:t>
      </w:r>
      <w:r/>
    </w:p>
    <w:sectPr>
      <w:footnotePr/>
      <w:endnotePr/>
      <w:type w:val="nextPage"/>
      <w:pgSz w:w="16838" w:h="11906" w:orient="landscape"/>
      <w:pgMar w:top="1134" w:right="567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Lucida Sans Unicode">
    <w:panose1 w:val="020B0602040504020204"/>
  </w:font>
  <w:font w:name="Mangal">
    <w:panose1 w:val="02040503050406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6">
    <w:name w:val="Heading 1"/>
    <w:basedOn w:val="812"/>
    <w:next w:val="812"/>
    <w:link w:val="63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7">
    <w:name w:val="Heading 1 Char"/>
    <w:basedOn w:val="813"/>
    <w:link w:val="636"/>
    <w:uiPriority w:val="9"/>
    <w:rPr>
      <w:rFonts w:ascii="Arial" w:hAnsi="Arial" w:eastAsia="Arial" w:cs="Arial"/>
      <w:sz w:val="40"/>
      <w:szCs w:val="40"/>
    </w:rPr>
  </w:style>
  <w:style w:type="paragraph" w:styleId="638">
    <w:name w:val="Heading 2"/>
    <w:basedOn w:val="812"/>
    <w:next w:val="812"/>
    <w:link w:val="6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9">
    <w:name w:val="Heading 2 Char"/>
    <w:basedOn w:val="813"/>
    <w:link w:val="638"/>
    <w:uiPriority w:val="9"/>
    <w:rPr>
      <w:rFonts w:ascii="Arial" w:hAnsi="Arial" w:eastAsia="Arial" w:cs="Arial"/>
      <w:sz w:val="34"/>
    </w:rPr>
  </w:style>
  <w:style w:type="paragraph" w:styleId="640">
    <w:name w:val="Heading 3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1">
    <w:name w:val="Heading 3 Char"/>
    <w:basedOn w:val="813"/>
    <w:link w:val="640"/>
    <w:uiPriority w:val="9"/>
    <w:rPr>
      <w:rFonts w:ascii="Arial" w:hAnsi="Arial" w:eastAsia="Arial" w:cs="Arial"/>
      <w:sz w:val="30"/>
      <w:szCs w:val="30"/>
    </w:rPr>
  </w:style>
  <w:style w:type="paragraph" w:styleId="642">
    <w:name w:val="Heading 4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3">
    <w:name w:val="Heading 4 Char"/>
    <w:basedOn w:val="813"/>
    <w:link w:val="642"/>
    <w:uiPriority w:val="9"/>
    <w:rPr>
      <w:rFonts w:ascii="Arial" w:hAnsi="Arial" w:eastAsia="Arial" w:cs="Arial"/>
      <w:b/>
      <w:bCs/>
      <w:sz w:val="26"/>
      <w:szCs w:val="26"/>
    </w:rPr>
  </w:style>
  <w:style w:type="paragraph" w:styleId="644">
    <w:name w:val="Heading 5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5">
    <w:name w:val="Heading 5 Char"/>
    <w:basedOn w:val="813"/>
    <w:link w:val="644"/>
    <w:uiPriority w:val="9"/>
    <w:rPr>
      <w:rFonts w:ascii="Arial" w:hAnsi="Arial" w:eastAsia="Arial" w:cs="Arial"/>
      <w:b/>
      <w:bCs/>
      <w:sz w:val="24"/>
      <w:szCs w:val="24"/>
    </w:rPr>
  </w:style>
  <w:style w:type="paragraph" w:styleId="646">
    <w:name w:val="Heading 6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7">
    <w:name w:val="Heading 6 Char"/>
    <w:basedOn w:val="813"/>
    <w:link w:val="646"/>
    <w:uiPriority w:val="9"/>
    <w:rPr>
      <w:rFonts w:ascii="Arial" w:hAnsi="Arial" w:eastAsia="Arial" w:cs="Arial"/>
      <w:b/>
      <w:bCs/>
      <w:sz w:val="22"/>
      <w:szCs w:val="22"/>
    </w:rPr>
  </w:style>
  <w:style w:type="paragraph" w:styleId="648">
    <w:name w:val="Heading 7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9">
    <w:name w:val="Heading 7 Char"/>
    <w:basedOn w:val="813"/>
    <w:link w:val="6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0">
    <w:name w:val="Heading 8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1">
    <w:name w:val="Heading 8 Char"/>
    <w:basedOn w:val="813"/>
    <w:link w:val="650"/>
    <w:uiPriority w:val="9"/>
    <w:rPr>
      <w:rFonts w:ascii="Arial" w:hAnsi="Arial" w:eastAsia="Arial" w:cs="Arial"/>
      <w:i/>
      <w:iCs/>
      <w:sz w:val="22"/>
      <w:szCs w:val="22"/>
    </w:rPr>
  </w:style>
  <w:style w:type="paragraph" w:styleId="652">
    <w:name w:val="Heading 9"/>
    <w:basedOn w:val="812"/>
    <w:next w:val="812"/>
    <w:link w:val="6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3">
    <w:name w:val="Heading 9 Char"/>
    <w:basedOn w:val="813"/>
    <w:link w:val="652"/>
    <w:uiPriority w:val="9"/>
    <w:rPr>
      <w:rFonts w:ascii="Arial" w:hAnsi="Arial" w:eastAsia="Arial" w:cs="Arial"/>
      <w:i/>
      <w:iCs/>
      <w:sz w:val="21"/>
      <w:szCs w:val="21"/>
    </w:rPr>
  </w:style>
  <w:style w:type="paragraph" w:styleId="654">
    <w:name w:val="List Paragraph"/>
    <w:basedOn w:val="812"/>
    <w:uiPriority w:val="34"/>
    <w:qFormat/>
    <w:pPr>
      <w:contextualSpacing/>
      <w:ind w:left="720"/>
    </w:pPr>
  </w:style>
  <w:style w:type="paragraph" w:styleId="655">
    <w:name w:val="No Spacing"/>
    <w:uiPriority w:val="1"/>
    <w:qFormat/>
    <w:pPr>
      <w:spacing w:before="0" w:after="0" w:line="240" w:lineRule="auto"/>
    </w:pPr>
  </w:style>
  <w:style w:type="paragraph" w:styleId="656">
    <w:name w:val="Title"/>
    <w:basedOn w:val="812"/>
    <w:next w:val="812"/>
    <w:link w:val="6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7">
    <w:name w:val="Title Char"/>
    <w:basedOn w:val="813"/>
    <w:link w:val="656"/>
    <w:uiPriority w:val="10"/>
    <w:rPr>
      <w:sz w:val="48"/>
      <w:szCs w:val="48"/>
    </w:rPr>
  </w:style>
  <w:style w:type="paragraph" w:styleId="658">
    <w:name w:val="Subtitle"/>
    <w:basedOn w:val="812"/>
    <w:next w:val="812"/>
    <w:link w:val="659"/>
    <w:uiPriority w:val="11"/>
    <w:qFormat/>
    <w:pPr>
      <w:spacing w:before="200" w:after="200"/>
    </w:pPr>
    <w:rPr>
      <w:sz w:val="24"/>
      <w:szCs w:val="24"/>
    </w:rPr>
  </w:style>
  <w:style w:type="character" w:styleId="659">
    <w:name w:val="Subtitle Char"/>
    <w:basedOn w:val="813"/>
    <w:link w:val="658"/>
    <w:uiPriority w:val="11"/>
    <w:rPr>
      <w:sz w:val="24"/>
      <w:szCs w:val="24"/>
    </w:rPr>
  </w:style>
  <w:style w:type="paragraph" w:styleId="660">
    <w:name w:val="Quote"/>
    <w:basedOn w:val="812"/>
    <w:next w:val="812"/>
    <w:link w:val="661"/>
    <w:uiPriority w:val="29"/>
    <w:qFormat/>
    <w:pPr>
      <w:ind w:left="720" w:right="720"/>
    </w:pPr>
    <w:rPr>
      <w:i/>
    </w:rPr>
  </w:style>
  <w:style w:type="character" w:styleId="661">
    <w:name w:val="Quote Char"/>
    <w:link w:val="660"/>
    <w:uiPriority w:val="29"/>
    <w:rPr>
      <w:i/>
    </w:rPr>
  </w:style>
  <w:style w:type="paragraph" w:styleId="662">
    <w:name w:val="Intense Quote"/>
    <w:basedOn w:val="812"/>
    <w:next w:val="812"/>
    <w:link w:val="6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3">
    <w:name w:val="Intense Quote Char"/>
    <w:link w:val="662"/>
    <w:uiPriority w:val="30"/>
    <w:rPr>
      <w:i/>
    </w:rPr>
  </w:style>
  <w:style w:type="paragraph" w:styleId="664">
    <w:name w:val="Header"/>
    <w:basedOn w:val="812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Header Char"/>
    <w:basedOn w:val="813"/>
    <w:link w:val="664"/>
    <w:uiPriority w:val="99"/>
  </w:style>
  <w:style w:type="paragraph" w:styleId="666">
    <w:name w:val="Footer"/>
    <w:basedOn w:val="812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>
    <w:name w:val="Footer Char"/>
    <w:basedOn w:val="813"/>
    <w:link w:val="666"/>
    <w:uiPriority w:val="99"/>
  </w:style>
  <w:style w:type="paragraph" w:styleId="668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9">
    <w:name w:val="Caption Char"/>
    <w:basedOn w:val="668"/>
    <w:link w:val="666"/>
    <w:uiPriority w:val="99"/>
  </w:style>
  <w:style w:type="table" w:styleId="670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1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4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6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8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9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0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1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2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3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4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8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1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2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3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4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5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6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8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3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4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5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6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7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8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9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1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2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3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4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5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6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7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8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9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0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1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2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3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4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5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6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7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8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9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0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1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3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4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5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6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9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0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1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2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3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4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qFormat/>
  </w:style>
  <w:style w:type="character" w:styleId="813" w:default="1">
    <w:name w:val="Default Paragraph Font"/>
    <w:uiPriority w:val="1"/>
    <w:semiHidden/>
    <w:unhideWhenUsed/>
  </w:style>
  <w:style w:type="table" w:styleId="8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  <w:style w:type="table" w:styleId="816">
    <w:name w:val="Table Grid"/>
    <w:basedOn w:val="81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17">
    <w:name w:val="Hyperlink"/>
    <w:basedOn w:val="813"/>
    <w:uiPriority w:val="99"/>
    <w:unhideWhenUsed/>
    <w:rPr>
      <w:color w:val="0000ff"/>
      <w:u w:val="single"/>
    </w:rPr>
  </w:style>
  <w:style w:type="paragraph" w:styleId="818" w:customStyle="1">
    <w:name w:val="исполнитель"/>
    <w:basedOn w:val="819"/>
    <w:qFormat/>
    <w:pPr>
      <w:spacing w:after="0" w:line="240" w:lineRule="auto"/>
    </w:pPr>
    <w:rPr>
      <w:rFonts w:ascii="Times New Roman" w:hAnsi="Times New Roman" w:eastAsia="Times New Roman" w:cs="Times New Roman"/>
      <w:color w:val="00000a"/>
      <w:sz w:val="20"/>
      <w:szCs w:val="20"/>
      <w:lang w:eastAsia="ru-RU"/>
    </w:rPr>
  </w:style>
  <w:style w:type="paragraph" w:styleId="819">
    <w:name w:val="Body Text"/>
    <w:basedOn w:val="812"/>
    <w:link w:val="820"/>
    <w:uiPriority w:val="99"/>
    <w:semiHidden/>
    <w:unhideWhenUsed/>
    <w:pPr>
      <w:spacing w:after="120"/>
    </w:pPr>
  </w:style>
  <w:style w:type="character" w:styleId="820" w:customStyle="1">
    <w:name w:val="Основной текст Знак"/>
    <w:basedOn w:val="813"/>
    <w:link w:val="819"/>
    <w:uiPriority w:val="99"/>
    <w:semiHidden/>
  </w:style>
  <w:style w:type="paragraph" w:styleId="821" w:customStyle="1">
    <w:name w:val="Standard"/>
    <w:pPr>
      <w:jc w:val="both"/>
      <w:spacing w:after="0" w:line="240" w:lineRule="auto"/>
      <w:widowControl w:val="off"/>
    </w:pPr>
    <w:rPr>
      <w:rFonts w:ascii="Times New Roman" w:hAnsi="Times New Roman" w:eastAsia="Lucida Sans Unicode" w:cs="Mangal"/>
      <w:sz w:val="28"/>
      <w:szCs w:val="24"/>
      <w:lang w:eastAsia="zh-CN" w:bidi="hi-IN"/>
    </w:rPr>
  </w:style>
  <w:style w:type="paragraph" w:styleId="822" w:customStyle="1">
    <w:name w:val="Text body"/>
    <w:basedOn w:val="821"/>
    <w:rPr>
      <w:sz w:val="21"/>
    </w:rPr>
  </w:style>
  <w:style w:type="paragraph" w:styleId="823">
    <w:name w:val="Balloon Text"/>
    <w:basedOn w:val="812"/>
    <w:link w:val="82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24" w:customStyle="1">
    <w:name w:val="Текст выноски Знак"/>
    <w:basedOn w:val="813"/>
    <w:link w:val="823"/>
    <w:uiPriority w:val="99"/>
    <w:semiHidden/>
    <w:rPr>
      <w:rFonts w:ascii="Segoe UI" w:hAnsi="Segoe UI" w:cs="Segoe UI"/>
      <w:sz w:val="18"/>
      <w:szCs w:val="18"/>
    </w:rPr>
  </w:style>
  <w:style w:type="character" w:styleId="825" w:customStyle="1">
    <w:name w:val="Основной шрифт абзаца1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hyperlink" Target="mailto:cav@gsvt.tomsk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4C2C7-97BD-4546-8623-C1105FB7E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Николаевна Чащина</dc:creator>
  <cp:revision>15</cp:revision>
  <dcterms:created xsi:type="dcterms:W3CDTF">2022-12-06T08:13:00Z</dcterms:created>
  <dcterms:modified xsi:type="dcterms:W3CDTF">2026-08-06T05:03:25Z</dcterms:modified>
</cp:coreProperties>
</file>