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4"/>
        <w:ind w:left="4290"/>
        <w:jc w:val="right"/>
        <w:tabs>
          <w:tab w:val="left" w:pos="427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25</w:t>
      </w:r>
      <w:r>
        <w:rPr>
          <w:rFonts w:ascii="PT Astra Serif" w:hAnsi="PT Astra Serif"/>
          <w:sz w:val="26"/>
          <w:szCs w:val="26"/>
        </w:rPr>
        <w:t xml:space="preserve"> декабря 2024</w:t>
      </w:r>
      <w:r>
        <w:rPr>
          <w:rFonts w:ascii="PT Astra Serif" w:hAnsi="PT Astra Serif"/>
          <w:sz w:val="26"/>
          <w:szCs w:val="26"/>
        </w:rPr>
        <w:t xml:space="preserve"> года</w:t>
      </w:r>
      <w:r/>
    </w:p>
    <w:p>
      <w:pPr>
        <w:pStyle w:val="814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14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План р</w:t>
      </w:r>
      <w:r>
        <w:rPr>
          <w:rFonts w:ascii="PT Astra Serif" w:hAnsi="PT Astra Serif"/>
          <w:sz w:val="26"/>
          <w:szCs w:val="26"/>
        </w:rPr>
        <w:t xml:space="preserve">аботы Комиссии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ветеринарии Томской области и урегулиров</w:t>
      </w:r>
      <w:r>
        <w:rPr>
          <w:rFonts w:ascii="PT Astra Serif" w:hAnsi="PT Astra Serif"/>
          <w:sz w:val="26"/>
          <w:szCs w:val="26"/>
        </w:rPr>
        <w:t xml:space="preserve">анию конфликта интересов на 20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 год</w:t>
      </w:r>
      <w:r/>
    </w:p>
    <w:p>
      <w:pPr>
        <w:pStyle w:val="814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W w:w="10055" w:type="dxa"/>
        <w:tblInd w:w="-453" w:type="dxa"/>
        <w:tblLayout w:type="fixed"/>
        <w:tblCellMar>
          <w:left w:w="40" w:type="dxa"/>
          <w:top w:w="0" w:type="dxa"/>
          <w:right w:w="40" w:type="dxa"/>
          <w:bottom w:w="0" w:type="dxa"/>
        </w:tblCellMar>
        <w:tblLook w:val="04A0" w:firstRow="1" w:lastRow="0" w:firstColumn="1" w:lastColumn="0" w:noHBand="0" w:noVBand="1"/>
      </w:tblPr>
      <w:tblGrid>
        <w:gridCol w:w="710"/>
        <w:gridCol w:w="4915"/>
        <w:gridCol w:w="2187"/>
        <w:gridCol w:w="2243"/>
      </w:tblGrid>
      <w:tr>
        <w:trPr>
          <w:trHeight w:val="4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№№ пп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15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вопросов, рассматриваемых на заседаниях комиссии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87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Дата заседания</w:t>
            </w:r>
            <w:r/>
          </w:p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комиссии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Ответственный за подготовку вопроса</w:t>
            </w:r>
            <w:r/>
          </w:p>
        </w:tc>
      </w:tr>
      <w:tr>
        <w:trPr>
          <w:trHeight w:val="20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15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проведении разъяснительной работы среди государственных гражданских служащих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ветеринарии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Томской области (далее – Департамент)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 вопросам противодействия коррупции и о порядке уведомления о фактах обращения в целях склонения государственного гражданского служащего к совершению коррупционных правонарушений  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87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Ежеквартально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/>
          </w:p>
        </w:tc>
      </w:tr>
      <w:tr>
        <w:trPr>
          <w:trHeight w:val="17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15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результатах соблюдения требований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пункта 2 статьи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14 Федерального закона от 27.07.2004 № 79-ФЗ «О государственной гражданской службе РФ» по предварительному уведомлению представителя нанимателя о выполнении иной оплачиваемой деятельности   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87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Ежеквартально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Ильева Н.М.</w:t>
            </w:r>
            <w:r/>
          </w:p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/>
          </w:p>
        </w:tc>
      </w:tr>
      <w:tr>
        <w:trPr>
          <w:trHeight w:val="20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15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результатах проведения анализа правоприменительной практики по результатам вступивших в законную силу решений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судов, арбитражных судов о признании недействительными ненормативных правовых актов, незаконными решений и действий (бездействия) Департамента и его должностных лиц в целях выработки и принятия мер по предупреждению и устранению причин выявленных нарушений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87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Ежеквартально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Ильева Н.М.</w:t>
            </w:r>
            <w:r/>
          </w:p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/>
          </w:p>
        </w:tc>
      </w:tr>
      <w:tr>
        <w:trPr>
          <w:trHeight w:val="4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15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проведени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 анализа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лица, ответственного за профилактику коррупционных и иных правонарушений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87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 квартал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trHeight w:val="4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15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both"/>
              <w:spacing w:before="100" w:beforeAutospacing="1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Об итогах реализации Плана мероприятий Департамента по противодействию коррупции за 2024 год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87" w:type="dxa"/>
            <w:vAlign w:val="top"/>
            <w:vMerge w:val="restart"/>
            <w:textDirection w:val="lrTb"/>
            <w:noWrap w:val="false"/>
          </w:tcPr>
          <w:p>
            <w:pPr>
              <w:pStyle w:val="856"/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1 квартал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center"/>
              <w:widowControl w:val="off"/>
            </w:pPr>
            <w:r>
              <w:rPr>
                <w:rFonts w:ascii="PT Astra Serif" w:hAnsi="PT Astra Serif"/>
                <w:sz w:val="26"/>
                <w:szCs w:val="26"/>
              </w:rPr>
              <w:t xml:space="preserve">Ильева Н.М.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center"/>
              <w:widowControl w:val="off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/>
          </w:p>
        </w:tc>
      </w:tr>
      <w:tr>
        <w:trPr>
          <w:trHeight w:val="4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15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результатах соблюдения требования ст.ст. 8, 8-1 Закона Томской области от 09.12.2005 № 231-ОЗ «О государственной гражданской службе Томской области» по полному и своевременному предоставлению в кадровую службу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сведений о доходах, об имуществе и обязательствах имущественного характера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сведений о расходах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87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2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квартал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/>
          </w:p>
        </w:tc>
      </w:tr>
      <w:tr>
        <w:trPr>
          <w:trHeight w:val="15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7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15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результатах соблюдения требований статьи 20.2 Федерального закона от 27.07.2004 № 79-ФЗ «О государственной гражданской службе РФ» по полному и своевременному предоставлению в кадровую службу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сведений о размещении информации в информационно - телекоммуникационной сети «Интернет»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87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 квартал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trHeight w:val="15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8.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15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both"/>
              <w:spacing w:before="100" w:beforeAutospacing="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результатах оценки эффективности деятельности Департамента по профилактике ко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87" w:type="dxa"/>
            <w:vAlign w:val="top"/>
            <w:vMerge w:val="restart"/>
            <w:textDirection w:val="lrTb"/>
            <w:noWrap w:val="false"/>
          </w:tcPr>
          <w:p>
            <w:pPr>
              <w:pStyle w:val="85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 квартал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trHeight w:val="15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9.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15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результатах провер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ки в отношении государственных гражданских служащих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на предмет соблюдения ими запретов и ограничений, установленных для государственных служащих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87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 и 4 квартал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/>
          </w:p>
        </w:tc>
      </w:tr>
      <w:tr>
        <w:trPr>
          <w:trHeight w:val="25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15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spacing w:before="100" w:beforeAutospacing="1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рассмотрении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доклада о результатах проведения 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7" w:type="dxa"/>
            <w:vAlign w:val="top"/>
            <w:textDirection w:val="lrTb"/>
            <w:noWrap w:val="false"/>
          </w:tcPr>
          <w:p>
            <w:pPr>
              <w:pStyle w:val="856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 и 4 квартал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trHeight w:val="28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11.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15" w:type="dxa"/>
            <w:vAlign w:val="top"/>
            <w:vMerge w:val="restart"/>
            <w:textDirection w:val="lrTb"/>
            <w:noWrap w:val="false"/>
          </w:tcPr>
          <w:p>
            <w:pPr>
              <w:pStyle w:val="855"/>
              <w:jc w:val="both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  <w:lang w:eastAsia="zh-CN"/>
              </w:rPr>
              <w:t xml:space="preserve">О </w:t>
            </w:r>
            <w:r>
              <w:rPr>
                <w:rFonts w:ascii="PT Astra Serif" w:hAnsi="PT Astra Serif"/>
                <w:sz w:val="26"/>
                <w:szCs w:val="26"/>
                <w:lang w:eastAsia="zh-CN"/>
              </w:rPr>
              <w:t xml:space="preserve">результат</w:t>
            </w:r>
            <w:r>
              <w:rPr>
                <w:rFonts w:ascii="PT Astra Serif" w:hAnsi="PT Astra Serif"/>
                <w:sz w:val="26"/>
                <w:szCs w:val="26"/>
                <w:lang w:eastAsia="zh-CN"/>
              </w:rPr>
              <w:t xml:space="preserve">ах</w:t>
            </w:r>
            <w:r>
              <w:rPr>
                <w:rFonts w:ascii="PT Astra Serif" w:hAnsi="PT Astra Serif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  <w:lang w:eastAsia="zh-CN"/>
              </w:rPr>
              <w:t xml:space="preserve">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7" w:type="dxa"/>
            <w:vAlign w:val="top"/>
            <w:vMerge w:val="restart"/>
            <w:textDirection w:val="lrTb"/>
            <w:noWrap w:val="false"/>
          </w:tcPr>
          <w:p>
            <w:pPr>
              <w:pStyle w:val="855"/>
              <w:jc w:val="center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 квартал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vMerge w:val="restart"/>
            <w:textDirection w:val="lrTb"/>
            <w:noWrap w:val="false"/>
          </w:tcPr>
          <w:p>
            <w:pPr>
              <w:pStyle w:val="814"/>
              <w:jc w:val="center"/>
              <w:widowControl w:val="off"/>
            </w:pPr>
            <w:r>
              <w:rPr>
                <w:rFonts w:ascii="PT Astra Serif" w:hAnsi="PT Astra Serif"/>
                <w:sz w:val="26"/>
                <w:szCs w:val="26"/>
              </w:rPr>
              <w:t xml:space="preserve">Ильева Н.М.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814"/>
              <w:jc w:val="center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trHeight w:val="7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15" w:type="dxa"/>
            <w:vAlign w:val="top"/>
            <w:textDirection w:val="lrTb"/>
            <w:noWrap w:val="false"/>
          </w:tcPr>
          <w:p>
            <w:pPr>
              <w:pStyle w:val="814"/>
              <w:jc w:val="both"/>
              <w:spacing w:before="100" w:beforeAutospacing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ии плана работы Комиссии на 2025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7" w:type="dxa"/>
            <w:vAlign w:val="top"/>
            <w:textDirection w:val="lrTb"/>
            <w:noWrap w:val="false"/>
          </w:tcPr>
          <w:p>
            <w:pPr>
              <w:pStyle w:val="856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 квартал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3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Невинная М.И.</w:t>
            </w:r>
            <w:r/>
          </w:p>
        </w:tc>
      </w:tr>
    </w:tbl>
    <w:sectPr>
      <w:footnotePr/>
      <w:endnotePr/>
      <w:type w:val="nextPage"/>
      <w:pgSz w:w="11906" w:h="16838" w:orient="portrait"/>
      <w:pgMar w:top="992" w:right="851" w:bottom="1390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SimSun">
    <w:panose1 w:val="02010600030101010101"/>
  </w:font>
  <w:font w:name="Mangal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432" w:hanging="432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576" w:hanging="576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720" w:hanging="72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864" w:hanging="864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ru-RU" w:eastAsia="zh-CN" w:bidi="ar-SA"/>
    </w:rPr>
  </w:style>
  <w:style w:type="paragraph" w:styleId="815">
    <w:name w:val="Заголовок 1"/>
    <w:basedOn w:val="814"/>
    <w:next w:val="814"/>
    <w:link w:val="814"/>
    <w:qFormat/>
    <w:pPr>
      <w:numPr>
        <w:ilvl w:val="0"/>
        <w:numId w:val="1"/>
      </w:numPr>
      <w:jc w:val="center"/>
      <w:keepNext/>
      <w:outlineLvl w:val="0"/>
    </w:pPr>
    <w:rPr>
      <w:sz w:val="24"/>
    </w:rPr>
  </w:style>
  <w:style w:type="paragraph" w:styleId="816">
    <w:name w:val="Заголовок 2"/>
    <w:basedOn w:val="814"/>
    <w:next w:val="814"/>
    <w:link w:val="814"/>
    <w:qFormat/>
    <w:pPr>
      <w:numPr>
        <w:ilvl w:val="1"/>
        <w:numId w:val="1"/>
      </w:numPr>
      <w:jc w:val="center"/>
      <w:keepNext/>
      <w:tabs>
        <w:tab w:val="left" w:pos="5670" w:leader="none"/>
      </w:tabs>
      <w:outlineLvl w:val="1"/>
    </w:pPr>
    <w:rPr>
      <w:b/>
      <w:sz w:val="24"/>
      <w:lang w:val="en-US"/>
    </w:rPr>
  </w:style>
  <w:style w:type="paragraph" w:styleId="817">
    <w:name w:val="Заголовок 3"/>
    <w:basedOn w:val="814"/>
    <w:next w:val="814"/>
    <w:link w:val="814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818">
    <w:name w:val="Заголовок 4"/>
    <w:basedOn w:val="814"/>
    <w:next w:val="814"/>
    <w:link w:val="814"/>
    <w:qFormat/>
    <w:pPr>
      <w:numPr>
        <w:ilvl w:val="3"/>
        <w:numId w:val="1"/>
      </w:numPr>
      <w:jc w:val="center"/>
      <w:keepNext/>
      <w:spacing w:line="360" w:lineRule="auto"/>
      <w:tabs>
        <w:tab w:val="left" w:pos="5670" w:leader="none"/>
      </w:tabs>
      <w:outlineLvl w:val="3"/>
    </w:pPr>
    <w:rPr>
      <w:sz w:val="26"/>
    </w:rPr>
  </w:style>
  <w:style w:type="paragraph" w:styleId="819">
    <w:name w:val="Заголовок 5"/>
    <w:basedOn w:val="814"/>
    <w:next w:val="814"/>
    <w:link w:val="814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820">
    <w:name w:val="Основной шрифт абзаца"/>
    <w:next w:val="820"/>
    <w:link w:val="814"/>
    <w:semiHidden/>
  </w:style>
  <w:style w:type="table" w:styleId="821">
    <w:name w:val="Обычная таблица"/>
    <w:next w:val="821"/>
    <w:link w:val="814"/>
    <w:semiHidden/>
    <w:tblPr/>
  </w:style>
  <w:style w:type="numbering" w:styleId="822">
    <w:name w:val="Нет списка"/>
    <w:next w:val="822"/>
    <w:link w:val="814"/>
    <w:semiHidden/>
  </w:style>
  <w:style w:type="character" w:styleId="823">
    <w:name w:val="WW8Num1z0"/>
    <w:next w:val="823"/>
    <w:link w:val="814"/>
  </w:style>
  <w:style w:type="character" w:styleId="824">
    <w:name w:val="WW8Num1z1"/>
    <w:next w:val="824"/>
    <w:link w:val="814"/>
  </w:style>
  <w:style w:type="character" w:styleId="825">
    <w:name w:val="WW8Num1z2"/>
    <w:next w:val="825"/>
    <w:link w:val="814"/>
  </w:style>
  <w:style w:type="character" w:styleId="826">
    <w:name w:val="WW8Num1z3"/>
    <w:next w:val="826"/>
    <w:link w:val="814"/>
  </w:style>
  <w:style w:type="character" w:styleId="827">
    <w:name w:val="WW8Num1z4"/>
    <w:next w:val="827"/>
    <w:link w:val="814"/>
  </w:style>
  <w:style w:type="character" w:styleId="828">
    <w:name w:val="WW8Num1z5"/>
    <w:next w:val="828"/>
    <w:link w:val="814"/>
  </w:style>
  <w:style w:type="character" w:styleId="829">
    <w:name w:val="WW8Num1z6"/>
    <w:next w:val="829"/>
    <w:link w:val="814"/>
  </w:style>
  <w:style w:type="character" w:styleId="830">
    <w:name w:val="WW8Num1z7"/>
    <w:next w:val="830"/>
    <w:link w:val="814"/>
  </w:style>
  <w:style w:type="character" w:styleId="831">
    <w:name w:val="WW8Num1z8"/>
    <w:next w:val="831"/>
    <w:link w:val="814"/>
  </w:style>
  <w:style w:type="character" w:styleId="832">
    <w:name w:val="Absatz-Standardschriftart"/>
    <w:next w:val="832"/>
    <w:link w:val="814"/>
  </w:style>
  <w:style w:type="character" w:styleId="833">
    <w:name w:val="WW-Absatz-Standardschriftart"/>
    <w:next w:val="833"/>
    <w:link w:val="814"/>
  </w:style>
  <w:style w:type="character" w:styleId="834">
    <w:name w:val="WW-Absatz-Standardschriftart1"/>
    <w:next w:val="834"/>
    <w:link w:val="814"/>
  </w:style>
  <w:style w:type="character" w:styleId="835">
    <w:name w:val="WW-Absatz-Standardschriftart11"/>
    <w:next w:val="835"/>
    <w:link w:val="814"/>
  </w:style>
  <w:style w:type="character" w:styleId="836">
    <w:name w:val="WW-Absatz-Standardschriftart111"/>
    <w:next w:val="836"/>
    <w:link w:val="814"/>
  </w:style>
  <w:style w:type="character" w:styleId="837">
    <w:name w:val="WW-Absatz-Standardschriftart1111"/>
    <w:next w:val="837"/>
    <w:link w:val="814"/>
  </w:style>
  <w:style w:type="character" w:styleId="838">
    <w:name w:val="WW-Absatz-Standardschriftart11111"/>
    <w:next w:val="838"/>
    <w:link w:val="814"/>
  </w:style>
  <w:style w:type="character" w:styleId="839">
    <w:name w:val="Основной шрифт абзаца1"/>
    <w:next w:val="839"/>
    <w:link w:val="814"/>
  </w:style>
  <w:style w:type="character" w:styleId="840">
    <w:name w:val="Номер страницы"/>
    <w:basedOn w:val="839"/>
    <w:next w:val="840"/>
    <w:link w:val="814"/>
  </w:style>
  <w:style w:type="paragraph" w:styleId="841">
    <w:name w:val="Заголовок"/>
    <w:basedOn w:val="814"/>
    <w:next w:val="842"/>
    <w:link w:val="814"/>
    <w:pPr>
      <w:keepNext/>
      <w:spacing w:before="240" w:after="120"/>
    </w:pPr>
    <w:rPr>
      <w:rFonts w:ascii="Arial" w:hAnsi="Arial" w:eastAsia="SimSun" w:cs="Mangal"/>
      <w:sz w:val="28"/>
      <w:szCs w:val="28"/>
    </w:rPr>
  </w:style>
  <w:style w:type="paragraph" w:styleId="842">
    <w:name w:val="Основной текст"/>
    <w:basedOn w:val="814"/>
    <w:next w:val="842"/>
    <w:link w:val="814"/>
    <w:pPr>
      <w:spacing w:before="0" w:after="120"/>
    </w:pPr>
  </w:style>
  <w:style w:type="paragraph" w:styleId="843">
    <w:name w:val="Список"/>
    <w:basedOn w:val="842"/>
    <w:next w:val="843"/>
    <w:link w:val="814"/>
    <w:rPr>
      <w:rFonts w:ascii="Arial" w:hAnsi="Arial" w:cs="Mangal"/>
    </w:rPr>
  </w:style>
  <w:style w:type="paragraph" w:styleId="844">
    <w:name w:val="Название объекта"/>
    <w:basedOn w:val="814"/>
    <w:next w:val="844"/>
    <w:link w:val="814"/>
    <w:qFormat/>
    <w:pPr>
      <w:spacing w:before="120" w:after="120"/>
      <w:suppressLineNumbers/>
    </w:pPr>
    <w:rPr>
      <w:rFonts w:ascii="Arial" w:hAnsi="Arial" w:cs="Mangal"/>
      <w:i/>
      <w:iCs/>
      <w:sz w:val="20"/>
      <w:szCs w:val="24"/>
    </w:rPr>
  </w:style>
  <w:style w:type="paragraph" w:styleId="845">
    <w:name w:val="Указатель1"/>
    <w:basedOn w:val="814"/>
    <w:next w:val="845"/>
    <w:link w:val="814"/>
    <w:pPr>
      <w:suppressLineNumbers/>
    </w:pPr>
    <w:rPr>
      <w:rFonts w:ascii="Arial" w:hAnsi="Arial" w:cs="Mangal"/>
    </w:rPr>
  </w:style>
  <w:style w:type="paragraph" w:styleId="846">
    <w:name w:val="Название"/>
    <w:basedOn w:val="841"/>
    <w:next w:val="847"/>
    <w:link w:val="814"/>
    <w:qFormat/>
  </w:style>
  <w:style w:type="paragraph" w:styleId="847">
    <w:name w:val="Подзаголовок"/>
    <w:basedOn w:val="841"/>
    <w:next w:val="842"/>
    <w:link w:val="814"/>
    <w:qFormat/>
    <w:pPr>
      <w:jc w:val="center"/>
    </w:pPr>
    <w:rPr>
      <w:i/>
      <w:iCs/>
      <w:sz w:val="28"/>
      <w:szCs w:val="28"/>
    </w:rPr>
  </w:style>
  <w:style w:type="paragraph" w:styleId="848">
    <w:name w:val="Верхний колонтитул"/>
    <w:basedOn w:val="814"/>
    <w:next w:val="848"/>
    <w:link w:val="814"/>
    <w:pPr>
      <w:tabs>
        <w:tab w:val="center" w:pos="4153" w:leader="none"/>
        <w:tab w:val="right" w:pos="8306" w:leader="none"/>
      </w:tabs>
    </w:pPr>
  </w:style>
  <w:style w:type="paragraph" w:styleId="849">
    <w:name w:val="Нижний колонтитул"/>
    <w:basedOn w:val="814"/>
    <w:next w:val="849"/>
    <w:link w:val="814"/>
    <w:pPr>
      <w:tabs>
        <w:tab w:val="center" w:pos="4153" w:leader="none"/>
        <w:tab w:val="right" w:pos="8306" w:leader="none"/>
      </w:tabs>
    </w:pPr>
  </w:style>
  <w:style w:type="paragraph" w:styleId="850">
    <w:name w:val="Название объекта1"/>
    <w:basedOn w:val="814"/>
    <w:next w:val="814"/>
    <w:link w:val="814"/>
    <w:pPr>
      <w:jc w:val="center"/>
      <w:spacing w:line="360" w:lineRule="auto"/>
    </w:pPr>
  </w:style>
  <w:style w:type="paragraph" w:styleId="851">
    <w:name w:val="Текст выноски"/>
    <w:basedOn w:val="814"/>
    <w:next w:val="851"/>
    <w:link w:val="814"/>
    <w:rPr>
      <w:rFonts w:ascii="Tahoma" w:hAnsi="Tahoma" w:cs="Tahoma"/>
      <w:sz w:val="16"/>
      <w:szCs w:val="16"/>
    </w:rPr>
  </w:style>
  <w:style w:type="paragraph" w:styleId="852">
    <w:name w:val="Содержимое таблицы"/>
    <w:basedOn w:val="814"/>
    <w:next w:val="852"/>
    <w:link w:val="814"/>
    <w:pPr>
      <w:suppressLineNumbers/>
    </w:pPr>
  </w:style>
  <w:style w:type="paragraph" w:styleId="853">
    <w:name w:val="Заголовок таблицы"/>
    <w:basedOn w:val="852"/>
    <w:next w:val="853"/>
    <w:link w:val="814"/>
    <w:pPr>
      <w:jc w:val="center"/>
      <w:suppressLineNumbers/>
    </w:pPr>
    <w:rPr>
      <w:b/>
      <w:bCs/>
    </w:rPr>
  </w:style>
  <w:style w:type="paragraph" w:styleId="854">
    <w:name w:val="Содержимое врезки"/>
    <w:basedOn w:val="842"/>
    <w:next w:val="854"/>
    <w:link w:val="814"/>
  </w:style>
  <w:style w:type="paragraph" w:styleId="855">
    <w:name w:val="Обычный (веб)"/>
    <w:basedOn w:val="814"/>
    <w:next w:val="855"/>
    <w:link w:val="814"/>
    <w:pPr>
      <w:spacing w:before="100" w:beforeAutospacing="1" w:after="119"/>
    </w:pPr>
    <w:rPr>
      <w:sz w:val="24"/>
      <w:szCs w:val="24"/>
      <w:lang w:eastAsia="ru-RU"/>
    </w:rPr>
  </w:style>
  <w:style w:type="paragraph" w:styleId="856">
    <w:name w:val="western"/>
    <w:basedOn w:val="814"/>
    <w:next w:val="856"/>
    <w:link w:val="814"/>
    <w:pPr>
      <w:jc w:val="both"/>
      <w:spacing w:before="100" w:beforeAutospacing="1"/>
    </w:pPr>
    <w:rPr>
      <w:sz w:val="28"/>
      <w:szCs w:val="28"/>
      <w:lang w:eastAsia="ru-RU"/>
    </w:rPr>
  </w:style>
  <w:style w:type="character" w:styleId="857" w:default="1">
    <w:name w:val="Default Paragraph Font"/>
    <w:uiPriority w:val="1"/>
    <w:semiHidden/>
    <w:unhideWhenUsed/>
  </w:style>
  <w:style w:type="numbering" w:styleId="858" w:default="1">
    <w:name w:val="No List"/>
    <w:uiPriority w:val="99"/>
    <w:semiHidden/>
    <w:unhideWhenUsed/>
  </w:style>
  <w:style w:type="table" w:styleId="85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Administrator</dc:creator>
  <cp:revision>7</cp:revision>
  <dcterms:created xsi:type="dcterms:W3CDTF">2023-12-15T10:29:00Z</dcterms:created>
  <dcterms:modified xsi:type="dcterms:W3CDTF">2024-12-25T02:54:36Z</dcterms:modified>
  <cp:version>983040</cp:version>
</cp:coreProperties>
</file>