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jc w:val="center"/>
        <w:widowControl/>
        <w:rPr>
          <w:rFonts w:ascii="PT Astra Serif" w:hAnsi="PT Astra Serif" w:eastAsia="Times New Roman" w:cs="Arial"/>
          <w:sz w:val="28"/>
          <w:szCs w:val="28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ascii="PT Astra Serif" w:hAnsi="PT Astra Serif" w:eastAsia="Times New Roman" w:cs="Arial"/>
          <w:sz w:val="28"/>
          <w:szCs w:val="28"/>
          <w:lang w:eastAsia="ru-RU" w:bidi="ar-SA"/>
        </w:rPr>
        <w:t xml:space="preserve">Информация об антикоррупционной деятельности</w:t>
      </w:r>
      <w:r>
        <w:rPr>
          <w:rFonts w:ascii="PT Astra Serif" w:hAnsi="PT Astra Serif" w:eastAsia="Times New Roman" w:cs="Arial"/>
          <w:sz w:val="28"/>
          <w:szCs w:val="28"/>
          <w:lang w:eastAsia="ru-RU" w:bidi="ar-SA"/>
        </w:rPr>
        <w:t xml:space="preserve"> за 2025 год</w:t>
      </w:r>
      <w:r>
        <w:rPr>
          <w:rFonts w:ascii="PT Astra Serif" w:hAnsi="PT Astra Serif" w:eastAsia="Times New Roman" w:cs="Arial"/>
          <w:sz w:val="28"/>
          <w:szCs w:val="28"/>
          <w:lang w:eastAsia="ru-RU" w:bidi="ar-SA"/>
        </w:rPr>
      </w:r>
      <w:r/>
    </w:p>
    <w:p>
      <w:pPr>
        <w:pStyle w:val="818"/>
        <w:jc w:val="center"/>
        <w:widowControl/>
        <w:rPr>
          <w:rFonts w:ascii="PT Astra Serif" w:hAnsi="PT Astra Serif" w:eastAsia="Times New Roman" w:cs="Arial"/>
          <w:sz w:val="28"/>
          <w:szCs w:val="28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ascii="PT Astra Serif" w:hAnsi="PT Astra Serif" w:eastAsia="Times New Roman" w:cs="Arial"/>
          <w:sz w:val="28"/>
          <w:szCs w:val="28"/>
          <w:lang w:eastAsia="ru-RU" w:bidi="ar-SA"/>
        </w:rPr>
        <w:t xml:space="preserve">в Департаменте ветеринарии Томской области</w:t>
      </w:r>
      <w:r/>
    </w:p>
    <w:p>
      <w:pPr>
        <w:pStyle w:val="818"/>
        <w:ind w:right="-33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>
        <w:rPr>
          <w:rFonts w:ascii="PT Astra Serif" w:hAnsi="PT Astra Serif" w:cs="Times New Roman"/>
          <w:b/>
          <w:bCs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 w:eastAsia="Courier New" w:cs="Times New Roman"/>
          <w:i/>
          <w:sz w:val="28"/>
          <w:szCs w:val="28"/>
        </w:rPr>
        <w:t xml:space="preserve">О проведении разъяснительной работы среди государственных гражданских служащих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 Томской области, замещающих должность государственной гражданской службы в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 Департамент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е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 ветеринарии Томской области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 (далее - государственные гражданские служащие Департамента)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 по вопросам противодействия коррупции и о порядке уведомления о фактах обращения в целях склонения государственного гражданского служащего к совершению коррупционных правонарушений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.</w:t>
      </w: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ind w:firstLine="709"/>
        <w:jc w:val="both"/>
      </w:pP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Г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осударственным г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ражданским служащим Департамента постоянно разъясняют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ся положения и изменения в законодательстве Российской Федерации о противодействии коррупции, в том числе об установлении наказания за коммерческий подкуп, получение и дачу взятки, посредничество во взяточничестве, об увольнении в связи с утратой доверия, </w:t>
      </w:r>
      <w:r>
        <w:rPr>
          <w:rFonts w:ascii="PT Astra Serif" w:hAnsi="PT Astra Serif" w:cs="Times New Roman"/>
          <w:sz w:val="28"/>
          <w:szCs w:val="28"/>
        </w:rPr>
        <w:t xml:space="preserve">о порядке уведомления о фактах обращения в целях склонения государственного гражданского служащего </w:t>
      </w:r>
      <w:r>
        <w:rPr>
          <w:rFonts w:ascii="PT Astra Serif" w:hAnsi="PT Astra Serif" w:cs="Times New Roman"/>
          <w:sz w:val="28"/>
          <w:szCs w:val="28"/>
        </w:rPr>
        <w:t xml:space="preserve">Департамента </w:t>
      </w:r>
      <w:r>
        <w:rPr>
          <w:rFonts w:ascii="PT Astra Serif" w:hAnsi="PT Astra Serif" w:cs="Times New Roman"/>
          <w:sz w:val="28"/>
          <w:szCs w:val="28"/>
        </w:rPr>
        <w:t xml:space="preserve">к совершению коррупционных правонарушений, о конфликте интересов, в том числе, связанном с выполнением иной оплачиваемой деятельности 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и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 т. д</w:t>
      </w:r>
      <w:r>
        <w:rPr>
          <w:rStyle w:val="851"/>
          <w:rFonts w:ascii="PT Astra Serif" w:hAnsi="PT Astra Serif" w:eastAsia="Courier New" w:cs="Times New Roman"/>
          <w:i/>
          <w:sz w:val="28"/>
          <w:szCs w:val="28"/>
        </w:rPr>
        <w:t xml:space="preserve">.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 Указанные положения и изменения доводятся до г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осударственны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х г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ражданских служащих Департамента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 по средством направления по электронной почте, консультациями и при ознакомлении под подпись.</w:t>
      </w:r>
      <w:r>
        <w:rPr>
          <w:rStyle w:val="851"/>
        </w:rPr>
      </w:r>
      <w:r/>
    </w:p>
    <w:p>
      <w:pPr>
        <w:pStyle w:val="818"/>
        <w:ind w:firstLine="709"/>
        <w:jc w:val="both"/>
      </w:pP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На 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постоянно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й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основ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е для повышения уровня знаний антикоррупционного законодательства проводится работа разъяснительного характера по соблюдению государственными гражданскими служащими 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Департамента 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ветеринарии Томской области (далее – Департамент)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 ограничений и запретов,</w:t>
      </w:r>
      <w:r>
        <w:rPr>
          <w:rStyle w:val="851"/>
          <w:rFonts w:ascii="PT Astra Serif" w:hAnsi="PT Astra Serif" w:eastAsia="Courier New" w:cs="Times New Roman"/>
          <w:color w:val="ff0000"/>
          <w:sz w:val="28"/>
          <w:szCs w:val="28"/>
        </w:rPr>
        <w:t xml:space="preserve"> 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требований о предотвращении или урегулировании конфликта интересов,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а также по исполнению ими обязанностей, установленных в целях противодействия коррупции.</w:t>
      </w:r>
      <w:r>
        <w:rPr>
          <w:rStyle w:val="851"/>
        </w:rPr>
      </w:r>
      <w:r/>
      <w:r/>
    </w:p>
    <w:p>
      <w:pPr>
        <w:pStyle w:val="818"/>
        <w:ind w:firstLine="709"/>
        <w:jc w:val="both"/>
      </w:pPr>
      <w:r>
        <w:rPr>
          <w:rFonts w:ascii="PT Astra Serif" w:hAnsi="PT Astra Serif"/>
          <w:sz w:val="28"/>
          <w:szCs w:val="28"/>
        </w:rPr>
        <w:t xml:space="preserve">Г</w:t>
      </w:r>
      <w:r>
        <w:rPr>
          <w:rFonts w:ascii="PT Astra Serif" w:hAnsi="PT Astra Serif"/>
          <w:sz w:val="28"/>
          <w:szCs w:val="28"/>
        </w:rPr>
        <w:t xml:space="preserve">осударственными гражданскими служащими Департамента требования к служебному поведению государственных гражданских служащих Томской области, запреты и ограничения не нарушаются. 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Уведомлений о фактах обращения в целях склонения государственного гражданского служащего Департамента к совершению коррупционных правонарушений в 2025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 году 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не поступало.</w:t>
      </w:r>
      <w:r>
        <w:rPr>
          <w:rStyle w:val="851"/>
        </w:rPr>
      </w:r>
      <w:r/>
    </w:p>
    <w:p>
      <w:pPr>
        <w:pStyle w:val="818"/>
        <w:ind w:firstLine="709"/>
        <w:jc w:val="both"/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</w:pP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Информация об осуществлении мер по предупреждению коррупции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, в том числе о деятельности Комиссии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,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 является открытой и доступной и размещена на официальном сайте и информационном стенде Департамента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.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</w:r>
      <w:r/>
    </w:p>
    <w:p>
      <w:pPr>
        <w:pStyle w:val="818"/>
        <w:ind w:firstLine="709"/>
        <w:jc w:val="both"/>
        <w:rPr>
          <w:rStyle w:val="851"/>
          <w:rFonts w:ascii="PT Astra Serif" w:hAnsi="PT Astra Serif"/>
          <w:color w:val="000000"/>
          <w:spacing w:val="-3"/>
          <w:sz w:val="28"/>
          <w:szCs w:val="28"/>
        </w:rPr>
      </w:pPr>
      <w:r>
        <w:rPr>
          <w:rStyle w:val="851"/>
          <w:rFonts w:ascii="PT Astra Serif" w:hAnsi="PT Astra Serif"/>
          <w:color w:val="000000"/>
          <w:spacing w:val="-3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 w:eastAsia="Courier New" w:cs="Times New Roman"/>
          <w:i/>
          <w:sz w:val="28"/>
          <w:szCs w:val="28"/>
        </w:rPr>
        <w:t xml:space="preserve">О результатах соблюдения требований пункта 2 статьи 14 Федерального закона от 27.07.2004 № 79-ФЗ «О государственной гражданской службе Р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оссийской 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Ф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едерации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» по предварительному уведомлению представителя нанимателя о выполнении иной оплачиваемой деятельности</w:t>
      </w: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sz w:val="28"/>
          <w:szCs w:val="28"/>
        </w:rPr>
      </w:pPr>
      <w:r>
        <w:rPr>
          <w:rFonts w:ascii="PT Astra Serif" w:hAnsi="PT Astra Serif" w:eastAsia="Courier New" w:cs="Times New Roman"/>
          <w:sz w:val="28"/>
          <w:szCs w:val="28"/>
        </w:rPr>
        <w:t xml:space="preserve">В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202</w:t>
      </w:r>
      <w:r>
        <w:rPr>
          <w:rFonts w:ascii="PT Astra Serif" w:hAnsi="PT Astra Serif" w:eastAsia="Courier New" w:cs="Times New Roman"/>
          <w:sz w:val="28"/>
          <w:szCs w:val="28"/>
        </w:rPr>
        <w:t xml:space="preserve">5 год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у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уведомлени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я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о выполнении иной оплачиваемой работы поступ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ил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от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четырех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государственн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ых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гражданск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их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служащ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их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Департамента</w:t>
      </w:r>
      <w:r>
        <w:rPr>
          <w:rFonts w:ascii="PT Astra Serif" w:hAnsi="PT Astra Serif" w:eastAsia="Courier New" w:cs="Times New Roman"/>
          <w:sz w:val="28"/>
          <w:szCs w:val="28"/>
        </w:rPr>
        <w:t xml:space="preserve">.</w:t>
      </w:r>
      <w:r>
        <w:rPr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sz w:val="28"/>
          <w:szCs w:val="28"/>
        </w:rPr>
      </w:pPr>
      <w:r>
        <w:rPr>
          <w:rFonts w:ascii="PT Astra Serif" w:hAnsi="PT Astra Serif" w:eastAsia="Courier New" w:cs="Times New Roman"/>
          <w:sz w:val="28"/>
          <w:szCs w:val="28"/>
        </w:rPr>
        <w:t xml:space="preserve">Указанн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ы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е уведомлени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я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поступил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в соответствии с требованиями пункта 2 статьи 14 Федерального закона от 27.07.2004 № 79-ФЗ «О государственной гражданской службе Российской Федерации» (с соблюдением срока до начала выполнения иной оплачиваемой работы</w:t>
      </w:r>
      <w:r>
        <w:rPr>
          <w:rFonts w:ascii="PT Astra Serif" w:hAnsi="PT Astra Serif" w:eastAsia="Courier New" w:cs="Times New Roman"/>
          <w:sz w:val="28"/>
          <w:szCs w:val="28"/>
        </w:rPr>
        <w:t xml:space="preserve">). При анализе представленной информации возможного конфликта интересов не выявлено.</w:t>
      </w:r>
      <w:r>
        <w:rPr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 w:eastAsia="Courier New" w:cs="Times New Roman"/>
          <w:i/>
          <w:sz w:val="28"/>
          <w:szCs w:val="28"/>
        </w:rPr>
        <w:t xml:space="preserve">О результатах проведения анализа правоприменительной практики по результатам вступивших в законную силу решений 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судов, арбитражных судов о признании недействительными ненормативных правовых актов, незаконными решений и действий (бездействия) Департамента и его должностных лиц в целях выработки и принятия мер по предупреждению и устранению причин выявленных нарушений</w:t>
      </w:r>
      <w:r/>
    </w:p>
    <w:p>
      <w:pPr>
        <w:pStyle w:val="818"/>
        <w:ind w:firstLine="709"/>
        <w:jc w:val="both"/>
        <w:widowControl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 2025 год вступившие в законную силу решения судов, арбитражных судов о признании недействительными ненормативных правовых актов, незаконными решений и действий (бездействия) Департамента и должностных лиц Департамента отсутствуют.</w:t>
      </w:r>
      <w:r/>
    </w:p>
    <w:p>
      <w:pPr>
        <w:pStyle w:val="818"/>
        <w:ind w:firstLine="709"/>
        <w:jc w:val="both"/>
        <w:widowControl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 2025 год в Департаменте была проведена антикоррупционная экспертиза 4 проектов приказов Департамента (нормативных правовых актов). В результате антикоррупционной экспертизы коррупциогенных факторов не выявлено, проекты согласованы.</w:t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sz w:val="28"/>
          <w:szCs w:val="28"/>
        </w:rPr>
      </w:pPr>
      <w:r>
        <w:rPr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 xml:space="preserve">О результатах соблюдения требования ст.ст. 8, 8-1 Закона Томской </w:t>
      </w:r>
      <w:r>
        <w:rPr>
          <w:rFonts w:ascii="PT Astra Serif" w:hAnsi="PT Astra Serif"/>
          <w:i/>
          <w:sz w:val="28"/>
          <w:szCs w:val="28"/>
        </w:rPr>
        <w:t xml:space="preserve">области от 09.12.2005 № 231-ОЗ «О государственной гражданской службе Томской области» по полному и своевременному предоставлению в кадровую службу Департамента сведений о доходах, об имуществе и обязательствах имущественного характера и сведений о расходах</w:t>
      </w: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ind w:firstLine="709"/>
        <w:jc w:val="both"/>
        <w:widowControl/>
      </w:pPr>
      <w:r>
        <w:rPr>
          <w:rFonts w:ascii="PT Astra Serif" w:hAnsi="PT Astra Serif" w:eastAsia="Courier New" w:cs="Times New Roman"/>
          <w:sz w:val="28"/>
          <w:szCs w:val="28"/>
        </w:rPr>
        <w:t xml:space="preserve">В соответствии с Перечнем должностей государственной гражданской службы Томской области в Департаменте ветеринарии Томской области, при замещении которых государственные гражданские служащие Томской области обязаны представлять сведения о своих доходах, ра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утвержденным приказом Департамента от 11.01.202</w:t>
      </w:r>
      <w:r>
        <w:rPr>
          <w:rFonts w:ascii="PT Astra Serif" w:hAnsi="PT Astra Serif" w:eastAsia="Courier New" w:cs="Times New Roman"/>
          <w:sz w:val="28"/>
          <w:szCs w:val="28"/>
        </w:rPr>
        <w:t xml:space="preserve">2 № 1 «Об обеспечении реализации статей 8, </w:t>
      </w:r>
      <w:hyperlink r:id="rId9" w:tooltip="consultantplus://offline/ref=28D50D93F9D7F27D7A95C5483BB83C397078694FE2DF43299461A410A414B95E98858CAAE7E2A316E29E1D2EE90F6C0AFE759CF37068A31677F182B2G7Q3L" w:history="1">
        <w:r>
          <w:rPr>
            <w:rFonts w:ascii="PT Astra Serif" w:hAnsi="PT Astra Serif" w:eastAsia="Courier New" w:cs="Times New Roman"/>
            <w:sz w:val="28"/>
            <w:szCs w:val="28"/>
          </w:rPr>
          <w:t xml:space="preserve">8-1</w:t>
        </w:r>
      </w:hyperlink>
      <w:r>
        <w:rPr>
          <w:rFonts w:ascii="PT Astra Serif" w:hAnsi="PT Astra Serif" w:eastAsia="Courier New" w:cs="Times New Roman"/>
          <w:sz w:val="28"/>
          <w:szCs w:val="28"/>
        </w:rPr>
        <w:t xml:space="preserve"> Закона Томской области от 9 декабря 20</w:t>
      </w:r>
      <w:r>
        <w:rPr>
          <w:rFonts w:ascii="PT Astra Serif" w:hAnsi="PT Astra Serif" w:eastAsia="Courier New" w:cs="Times New Roman"/>
          <w:sz w:val="28"/>
          <w:szCs w:val="28"/>
        </w:rPr>
        <w:t xml:space="preserve">05 года № 231-ОЗ «О государственной гражданской службе Томской области» в Департаменте ветеринарии Томской области» (далее – Перечень) в кадровую службу Департамента справки о доходах, расходах, об имуществе и обязательствах имущественного характера на себ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я и членов своей семьи представили в установленный законом срок 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27 государственных гражданских служащих Департамента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. В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соответствии с Перечнем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в кадровую службу Департамента сведения о доходах, расходах, об имуществе и обязательствах имущественного характера на себя и членов своей семьи при назначении на должность государственной гражданской службы Томской области в Департамент представил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3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граж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дан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в установленный законом срок. </w:t>
      </w:r>
      <w:r/>
      <w:r/>
    </w:p>
    <w:p>
      <w:pPr>
        <w:ind w:firstLine="709"/>
        <w:jc w:val="both"/>
        <w:widowControl/>
      </w:pPr>
      <w:r>
        <w:rPr>
          <w:rFonts w:ascii="PT Astra Serif" w:hAnsi="PT Astra Serif" w:eastAsia="Courier New" w:cs="Times New Roman"/>
          <w:sz w:val="28"/>
          <w:szCs w:val="28"/>
        </w:rPr>
        <w:t xml:space="preserve">При заполнении сведений о доходах государственным гражданским служащим Томской области и гражданам при назначении на должность было рекомендовано пользоваться Методическими рекомендациями по вопросам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представления сведений о доходах, расходах, об имуществе и обязательствах имущественного характера и заполнения соответствующей формы справки в 202</w:t>
      </w:r>
      <w:r>
        <w:rPr>
          <w:rFonts w:ascii="PT Astra Serif" w:hAnsi="PT Astra Serif" w:eastAsia="Courier New" w:cs="Times New Roman"/>
          <w:sz w:val="28"/>
          <w:szCs w:val="28"/>
        </w:rPr>
        <w:t xml:space="preserve">5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году (за отчетный 202</w:t>
      </w:r>
      <w:r>
        <w:rPr>
          <w:rFonts w:ascii="PT Astra Serif" w:hAnsi="PT Astra Serif" w:eastAsia="Courier New" w:cs="Times New Roman"/>
          <w:sz w:val="28"/>
          <w:szCs w:val="28"/>
        </w:rPr>
        <w:t xml:space="preserve">4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год), подготовленных Министерством труда и социальной защиты Российской Федерации (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далее – Методические рекомендации). Указанные сведения предоставлены по форме справки о доходах, расходах, об имуществе и обязательствах имущественного характера, утвержденной Указом Президента Российской Федерации от 23.06.2014 № 460, заполненной с исполь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зованием специального программного обеспечения «Справки БК».</w:t>
      </w:r>
      <w:r/>
      <w:r/>
    </w:p>
    <w:p>
      <w:pPr>
        <w:ind w:firstLine="709"/>
        <w:jc w:val="both"/>
      </w:pPr>
      <w:r>
        <w:rPr>
          <w:rFonts w:ascii="PT Astra Serif" w:hAnsi="PT Astra Serif" w:eastAsia="Courier New" w:cs="Times New Roman"/>
          <w:sz w:val="28"/>
          <w:szCs w:val="28"/>
        </w:rPr>
        <w:t xml:space="preserve">При получении справок о доходах проверялись правильность и полнота их заполнения в соответствии с Методическими рекомендациями Минтруда России по заполнению справок о доходах, расходах, об имущес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тве и обязательствах имущественного характера. В рабочем порядке неточности и недостатки государственными гражданскими служащими устранялись. При этом уточняющие справки на себя, сво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ю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супруг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у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предоставил 1 государственный гр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ажданский служащий Департамента в установленный законом срок.</w:t>
      </w:r>
      <w:r/>
      <w:r/>
    </w:p>
    <w:p>
      <w:pPr>
        <w:ind w:firstLine="709"/>
        <w:jc w:val="both"/>
      </w:pPr>
      <w:r>
        <w:rPr>
          <w:rFonts w:ascii="PT Astra Serif" w:hAnsi="PT Astra Serif"/>
          <w:sz w:val="28"/>
          <w:szCs w:val="28"/>
        </w:rPr>
        <w:t xml:space="preserve">Заявлений государственных гражданских служащих Департамента о невозможности по объективным причинам представить сведения о доходах, расходах, об имуществе и обязательствах имущественного характе</w:t>
      </w:r>
      <w:r>
        <w:rPr>
          <w:rFonts w:ascii="PT Astra Serif" w:hAnsi="PT Astra Serif"/>
          <w:sz w:val="28"/>
          <w:szCs w:val="28"/>
        </w:rPr>
        <w:t xml:space="preserve">ра своих супруги (супруга) и несовершеннолетних детей не поступало.</w:t>
      </w:r>
      <w:r/>
      <w:r/>
    </w:p>
    <w:p>
      <w:pPr>
        <w:pStyle w:val="818"/>
        <w:ind w:firstLine="709"/>
        <w:jc w:val="both"/>
        <w:widowControl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Раздел «Сведения о расходах» справки о доходах, расходах, об имуществе и обязательствах имущественного характера за отчетный 202</w:t>
      </w:r>
      <w:r>
        <w:rPr>
          <w:rFonts w:ascii="PT Astra Serif" w:hAnsi="PT Astra Serif"/>
          <w:sz w:val="28"/>
          <w:szCs w:val="28"/>
          <w:highlight w:val="none"/>
        </w:rPr>
        <w:t xml:space="preserve">5 год </w:t>
      </w:r>
      <w:r>
        <w:rPr>
          <w:rFonts w:ascii="PT Astra Serif" w:hAnsi="PT Astra Serif"/>
          <w:sz w:val="28"/>
          <w:szCs w:val="28"/>
          <w:highlight w:val="none"/>
        </w:rPr>
        <w:t xml:space="preserve">государственны</w:t>
      </w:r>
      <w:r>
        <w:rPr>
          <w:rFonts w:ascii="PT Astra Serif" w:hAnsi="PT Astra Serif"/>
          <w:sz w:val="28"/>
          <w:szCs w:val="28"/>
          <w:highlight w:val="none"/>
        </w:rPr>
        <w:t xml:space="preserve">е</w:t>
      </w:r>
      <w:r>
        <w:rPr>
          <w:rFonts w:ascii="PT Astra Serif" w:hAnsi="PT Astra Serif"/>
          <w:sz w:val="28"/>
          <w:szCs w:val="28"/>
          <w:highlight w:val="none"/>
        </w:rPr>
        <w:t xml:space="preserve"> граждански</w:t>
      </w:r>
      <w:r>
        <w:rPr>
          <w:rFonts w:ascii="PT Astra Serif" w:hAnsi="PT Astra Serif"/>
          <w:sz w:val="28"/>
          <w:szCs w:val="28"/>
          <w:highlight w:val="none"/>
        </w:rPr>
        <w:t xml:space="preserve">е</w:t>
      </w:r>
      <w:r>
        <w:rPr>
          <w:rFonts w:ascii="PT Astra Serif" w:hAnsi="PT Astra Serif"/>
          <w:sz w:val="28"/>
          <w:szCs w:val="28"/>
          <w:highlight w:val="none"/>
        </w:rPr>
        <w:t xml:space="preserve"> служащи</w:t>
      </w:r>
      <w:r>
        <w:rPr>
          <w:rFonts w:ascii="PT Astra Serif" w:hAnsi="PT Astra Serif"/>
          <w:sz w:val="28"/>
          <w:szCs w:val="28"/>
          <w:highlight w:val="none"/>
        </w:rPr>
        <w:t xml:space="preserve">е</w:t>
      </w:r>
      <w:r>
        <w:rPr>
          <w:rFonts w:ascii="PT Astra Serif" w:hAnsi="PT Astra Serif"/>
          <w:sz w:val="28"/>
          <w:szCs w:val="28"/>
          <w:highlight w:val="none"/>
        </w:rPr>
        <w:t xml:space="preserve"> Департ</w:t>
      </w:r>
      <w:r>
        <w:rPr>
          <w:rFonts w:ascii="PT Astra Serif" w:hAnsi="PT Astra Serif"/>
          <w:sz w:val="28"/>
          <w:szCs w:val="28"/>
          <w:highlight w:val="none"/>
        </w:rPr>
        <w:t xml:space="preserve">амента</w:t>
      </w:r>
      <w:r>
        <w:rPr>
          <w:rFonts w:ascii="PT Astra Serif" w:hAnsi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sz w:val="28"/>
          <w:szCs w:val="28"/>
          <w:highlight w:val="none"/>
        </w:rPr>
        <w:t xml:space="preserve">не заполн</w:t>
      </w:r>
      <w:r>
        <w:rPr>
          <w:rFonts w:ascii="PT Astra Serif" w:hAnsi="PT Astra Serif"/>
          <w:sz w:val="28"/>
          <w:szCs w:val="28"/>
          <w:highlight w:val="none"/>
        </w:rPr>
        <w:t xml:space="preserve">я</w:t>
      </w:r>
      <w:r>
        <w:rPr>
          <w:rFonts w:ascii="PT Astra Serif" w:hAnsi="PT Astra Serif"/>
          <w:sz w:val="28"/>
          <w:szCs w:val="28"/>
          <w:highlight w:val="none"/>
        </w:rPr>
        <w:t xml:space="preserve">л</w:t>
      </w:r>
      <w:r>
        <w:rPr>
          <w:rFonts w:ascii="PT Astra Serif" w:hAnsi="PT Astra Serif"/>
          <w:sz w:val="28"/>
          <w:szCs w:val="28"/>
          <w:highlight w:val="none"/>
        </w:rPr>
        <w:t xml:space="preserve">и</w:t>
      </w:r>
      <w:r>
        <w:rPr>
          <w:rFonts w:ascii="PT Astra Serif" w:hAnsi="PT Astra Serif"/>
          <w:sz w:val="28"/>
          <w:szCs w:val="28"/>
          <w:highlight w:val="none"/>
        </w:rPr>
        <w:t xml:space="preserve"> в связи с отсутствием оснований</w:t>
      </w:r>
      <w:r>
        <w:rPr>
          <w:rFonts w:ascii="PT Astra Serif" w:hAnsi="PT Astra Serif"/>
          <w:sz w:val="28"/>
          <w:szCs w:val="28"/>
          <w:highlight w:val="none"/>
        </w:rPr>
        <w:t xml:space="preserve">.</w:t>
      </w:r>
      <w:r/>
      <w:r/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818"/>
        <w:ind w:firstLine="709"/>
        <w:jc w:val="both"/>
        <w:widowControl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 xml:space="preserve">О результатах проверки в отношении государственных гражданских служащих Департамента на предмет соблюдения ими запретов и ограничений, установленных для государственных служащих</w:t>
      </w: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sz w:val="28"/>
          <w:szCs w:val="28"/>
        </w:rPr>
      </w:pPr>
      <w:r>
        <w:rPr>
          <w:rFonts w:ascii="PT Astra Serif" w:hAnsi="PT Astra Serif" w:eastAsia="Courier New" w:cs="Times New Roman"/>
          <w:sz w:val="28"/>
          <w:szCs w:val="28"/>
        </w:rPr>
        <w:t xml:space="preserve">Ответственными лицами за работу по профилактике коррупционных и 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ных правонарушений в Департаменте постоянно осуществляется контроль за соблюдением гражданскими служащими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правил, ограничений</w:t>
      </w:r>
      <w:r>
        <w:rPr>
          <w:rFonts w:ascii="PT Astra Serif" w:hAnsi="PT Astra Serif" w:eastAsia="Courier New" w:cs="Times New Roman"/>
          <w:sz w:val="28"/>
          <w:szCs w:val="28"/>
        </w:rPr>
        <w:t xml:space="preserve">,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запретов,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требований о предотвращении или урегулировании конфликта интересов, обязанностей</w:t>
      </w:r>
      <w:r>
        <w:rPr>
          <w:rFonts w:ascii="PT Astra Serif" w:hAnsi="PT Astra Serif" w:eastAsia="Courier New" w:cs="Times New Roman"/>
          <w:sz w:val="28"/>
          <w:szCs w:val="28"/>
        </w:rPr>
        <w:t xml:space="preserve">,</w:t>
      </w:r>
      <w:r/>
      <w:r>
        <w:rPr>
          <w:rFonts w:ascii="PT Astra Serif" w:hAnsi="PT Astra Serif" w:eastAsia="Courier New" w:cs="Times New Roman"/>
          <w:sz w:val="28"/>
          <w:szCs w:val="28"/>
        </w:rPr>
        <w:t xml:space="preserve"> установленных законодательством Российской Федерации о государственной гражданской службе и противодействии коррупции.</w:t>
      </w:r>
      <w:r/>
    </w:p>
    <w:p>
      <w:pPr>
        <w:ind w:firstLine="709"/>
        <w:jc w:val="both"/>
        <w:spacing w:before="0" w:beforeAutospacing="0" w:after="0" w:afterAutospacing="0"/>
      </w:pPr>
      <w:r>
        <w:rPr>
          <w:rFonts w:ascii="PT Astra Serif" w:hAnsi="PT Astra Serif"/>
          <w:sz w:val="28"/>
          <w:szCs w:val="28"/>
        </w:rPr>
        <w:t xml:space="preserve">В 2025 году проведена проверка 27 государственных гражданских служащих Де</w:t>
      </w:r>
      <w:r>
        <w:rPr>
          <w:rFonts w:ascii="PT Astra Serif" w:hAnsi="PT Astra Serif"/>
          <w:sz w:val="28"/>
          <w:szCs w:val="28"/>
        </w:rPr>
        <w:t xml:space="preserve">партамента по системе межведомственного электронного взаимодействия на наличие сведений о них в ЕГРИП как об индивидуальных предпринимателях и в ЕГРЮЛ как об учредителях юридических лиц (руководителей и учредителей). Запрашиваемые сведения найдены не были.</w:t>
      </w:r>
      <w:r/>
    </w:p>
    <w:p>
      <w:pPr>
        <w:pStyle w:val="818"/>
        <w:ind w:firstLine="709"/>
        <w:jc w:val="both"/>
        <w:widowControl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Информации о несоблюдении гражданскими служащими норм служебной, профессиональной этики и правил делового поведения не поступало.</w:t>
      </w:r>
      <w:r/>
    </w:p>
    <w:p>
      <w:pPr>
        <w:pStyle w:val="818"/>
        <w:ind w:firstLine="709"/>
        <w:jc w:val="both"/>
        <w:widowControl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настоящее время не выявлены случаи несоблюдения государственными гражданскими служащими Департамента ограничений и запретов, </w:t>
      </w:r>
      <w:r>
        <w:rPr>
          <w:rFonts w:ascii="PT Astra Serif" w:hAnsi="PT Astra Serif"/>
          <w:sz w:val="28"/>
          <w:szCs w:val="28"/>
        </w:rPr>
        <w:t xml:space="preserve">требований о предотвращении или урегулировании конфликта интересов и обязанностей, </w:t>
      </w:r>
      <w:r>
        <w:rPr>
          <w:rFonts w:ascii="PT Astra Serif" w:hAnsi="PT Astra Serif"/>
          <w:sz w:val="28"/>
          <w:szCs w:val="28"/>
        </w:rPr>
        <w:t xml:space="preserve">установленных антикоррупционным законодательством.</w:t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 xml:space="preserve">О проведени</w:t>
      </w:r>
      <w:r>
        <w:rPr>
          <w:rFonts w:ascii="PT Astra Serif" w:hAnsi="PT Astra Serif"/>
          <w:i/>
          <w:sz w:val="28"/>
          <w:szCs w:val="28"/>
        </w:rPr>
        <w:t xml:space="preserve">и анализа эффективности деятельности комиссии по соблюдению требований к служебному поведению государственных гражданских служащих и урегулированию конфликта интересов, а также работы лица, ответственного за профилактику коррупционных и иных правонарушений</w:t>
      </w: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  <w:widowControl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Комиссия функционирует на постоянной основе</w:t>
      </w:r>
      <w:r>
        <w:rPr>
          <w:rFonts w:ascii="PT Astra Serif" w:hAnsi="PT Astra Serif"/>
          <w:sz w:val="28"/>
          <w:szCs w:val="28"/>
        </w:rPr>
        <w:t xml:space="preserve">. Ее заседания проводятся 1 раз в квартал,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в</w:t>
      </w:r>
      <w:r>
        <w:rPr>
          <w:rFonts w:ascii="PT Astra Serif" w:hAnsi="PT Astra Serif"/>
          <w:sz w:val="28"/>
          <w:szCs w:val="28"/>
        </w:rPr>
        <w:t xml:space="preserve">се вопросы, предусмотренные Планом работы на 2025 год, на з</w:t>
      </w:r>
      <w:r>
        <w:rPr>
          <w:rFonts w:ascii="PT Astra Serif" w:hAnsi="PT Astra Serif"/>
          <w:sz w:val="28"/>
          <w:szCs w:val="28"/>
        </w:rPr>
        <w:t xml:space="preserve">аседаниях Комиссии рассмотрены</w:t>
      </w:r>
      <w:r>
        <w:rPr>
          <w:rFonts w:ascii="PT Astra Serif" w:hAnsi="PT Astra Serif"/>
          <w:sz w:val="28"/>
          <w:szCs w:val="28"/>
        </w:rPr>
        <w:t xml:space="preserve">, внеплановые вопросы в 2025 году не рассматривались. </w:t>
      </w:r>
      <w:r>
        <w:rPr>
          <w:rFonts w:ascii="PT Astra Serif" w:hAnsi="PT Astra Serif"/>
          <w:sz w:val="28"/>
          <w:szCs w:val="28"/>
        </w:rPr>
        <w:t xml:space="preserve">Информация о ее деятельности своевременно размещается на официальном сайте и информационном стенде Департамента.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</w:rPr>
      </w:pPr>
      <w:r>
        <w:rPr>
          <w:rFonts w:ascii="PT Astra Serif" w:hAnsi="PT Astra Serif" w:eastAsia="Courier New" w:cs="Times New Roman"/>
          <w:sz w:val="28"/>
          <w:szCs w:val="28"/>
        </w:rPr>
        <w:t xml:space="preserve">Мероприятия, предусмотренные планом противодействия коррупции в Департаменте на 2025 год, исполнялись в запланированные сроки.</w:t>
      </w:r>
      <w:r>
        <w:rPr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sz w:val="28"/>
          <w:szCs w:val="28"/>
        </w:rPr>
      </w:pPr>
      <w:r>
        <w:rPr>
          <w:rFonts w:ascii="PT Astra Serif" w:hAnsi="PT Astra Serif" w:eastAsia="Courier New" w:cs="Times New Roman"/>
          <w:sz w:val="28"/>
          <w:szCs w:val="28"/>
        </w:rPr>
        <w:t xml:space="preserve">Работа по профилактике коррупционных и иных правонарушений в Департаменте ответственными лицами осуществляется постоянно.</w:t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 xml:space="preserve">О результатах соблюдения требований с</w:t>
      </w:r>
      <w:r>
        <w:rPr>
          <w:rFonts w:ascii="PT Astra Serif" w:hAnsi="PT Astra Serif"/>
          <w:i/>
          <w:sz w:val="28"/>
          <w:szCs w:val="28"/>
        </w:rPr>
        <w:t xml:space="preserve">татьи 20.2 Федерального закона от 27.07.2004 № 79-ФЗ «О государственной гражданской службе РФ» по полному и своевременному предоставлению в кадровую службу Департамента сведений о размещении информации в информационно - телекоммуникационной сети "Интернет"</w:t>
      </w: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</w:pPr>
      <w:r>
        <w:rPr>
          <w:rFonts w:ascii="PT Astra Serif" w:hAnsi="PT Astra Serif" w:eastAsia="Courier New" w:cs="Times New Roman"/>
          <w:sz w:val="28"/>
          <w:szCs w:val="28"/>
        </w:rPr>
        <w:t xml:space="preserve">В соо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тветствии с требованиями статьи 20.2 Федерального закона от 27.07.2004 № 79-ФЗ «О государственной гражданской службе Российской Федерации» в кадровую службу Департамента сведения о размещении информации в информационно-телекоммуникационной сети «Интернет»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своевременно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предоставили 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27 государственных гражданских служащих Департамента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.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bCs/>
          <w:i/>
          <w:sz w:val="28"/>
          <w:szCs w:val="28"/>
          <w:highlight w:val="none"/>
        </w:rPr>
      </w:pPr>
      <w:r>
        <w:rPr>
          <w:rFonts w:ascii="PT Astra Serif" w:hAnsi="PT Astra Serif" w:eastAsia="Courier New" w:cs="Times New Roman"/>
          <w:sz w:val="28"/>
          <w:szCs w:val="28"/>
        </w:rPr>
      </w:r>
      <w:r>
        <w:rPr>
          <w:rFonts w:ascii="PT Astra Serif" w:hAnsi="PT Astra Serif" w:eastAsia="Courier New" w:cs="Times New Roman"/>
          <w:sz w:val="28"/>
          <w:szCs w:val="28"/>
        </w:rPr>
        <w:t xml:space="preserve">В соответствии с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требованиями указанной статьи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в кадровую службу Департамента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сведения о размещении информации в информационно-телекоммуникационной сети «Интернет»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при назначении на должность государственной гражданской службы Томской области в Департамент представил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и 3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граждан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в установленный законом срок.</w:t>
      </w:r>
      <w:r>
        <w:rPr>
          <w:rFonts w:ascii="PT Astra Serif" w:hAnsi="PT Astra Serif" w:eastAsia="Courier New" w:cs="Times New Roman"/>
          <w:sz w:val="28"/>
          <w:szCs w:val="28"/>
        </w:rPr>
      </w:r>
      <w:r/>
    </w:p>
    <w:p>
      <w:pPr>
        <w:ind w:firstLine="709"/>
        <w:jc w:val="both"/>
        <w:rPr>
          <w:rFonts w:ascii="PT Astra Serif" w:hAnsi="PT Astra Serif" w:eastAsia="Courier New" w:cs="Times New Roman"/>
          <w:bCs/>
          <w:i/>
          <w:sz w:val="28"/>
          <w:szCs w:val="28"/>
        </w:rPr>
      </w:pPr>
      <w:r>
        <w:rPr>
          <w:rFonts w:ascii="PT Astra Serif" w:hAnsi="PT Astra Serif" w:eastAsia="Courier New" w:cs="Times New Roman"/>
          <w:i/>
          <w:sz w:val="28"/>
          <w:szCs w:val="28"/>
          <w:highlight w:val="none"/>
        </w:rPr>
      </w:r>
      <w:r>
        <w:rPr>
          <w:rFonts w:ascii="PT Astra Serif" w:hAnsi="PT Astra Serif" w:eastAsia="Courier New" w:cs="Times New Roman"/>
          <w:i/>
          <w:sz w:val="28"/>
          <w:szCs w:val="28"/>
          <w:highlight w:val="none"/>
        </w:rPr>
      </w:r>
      <w:r/>
    </w:p>
    <w:p>
      <w:pPr>
        <w:pStyle w:val="818"/>
        <w:ind w:firstLine="709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 xml:space="preserve">О результатах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</w:t>
      </w:r>
      <w:r/>
    </w:p>
    <w:p>
      <w:pPr>
        <w:pStyle w:val="818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Департаменте действу</w:t>
      </w:r>
      <w:r>
        <w:rPr>
          <w:rFonts w:ascii="PT Astra Serif" w:hAnsi="PT Astra Serif" w:cs="Times New Roman"/>
          <w:sz w:val="28"/>
          <w:szCs w:val="28"/>
        </w:rPr>
        <w:t xml:space="preserve">ет «горячая линия», по которой граждане и организации могут направлять сообщения о коррупционных правонарушениях со стороны сотрудников Департамента. Обращений граждан и юридических лиц, а также публикаций в СМИ, в которых имелись бы факты коррупции за 202</w:t>
      </w:r>
      <w:r>
        <w:rPr>
          <w:rFonts w:ascii="PT Astra Serif" w:hAnsi="PT Astra Serif" w:cs="Times New Roman"/>
          <w:sz w:val="28"/>
          <w:szCs w:val="28"/>
        </w:rPr>
        <w:t xml:space="preserve">5 год не выявлено.</w:t>
      </w:r>
      <w:r/>
    </w:p>
    <w:p>
      <w:pPr>
        <w:pStyle w:val="818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/>
          <w:i/>
          <w:sz w:val="28"/>
          <w:szCs w:val="28"/>
          <w:lang w:eastAsia="ru-RU"/>
        </w:rPr>
      </w:pPr>
      <w:r>
        <w:rPr>
          <w:rFonts w:ascii="PT Astra Serif" w:hAnsi="PT Astra Serif"/>
          <w:i/>
          <w:sz w:val="28"/>
          <w:szCs w:val="28"/>
        </w:rPr>
        <w:t xml:space="preserve">Рассмотрение доклада о результатах проведения </w:t>
      </w:r>
      <w:r>
        <w:rPr>
          <w:rFonts w:ascii="PT Astra Serif" w:hAnsi="PT Astra Serif"/>
          <w:i/>
          <w:sz w:val="28"/>
          <w:szCs w:val="28"/>
          <w:lang w:eastAsia="ru-RU"/>
        </w:rPr>
        <w:t xml:space="preserve">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/>
    </w:p>
    <w:p>
      <w:pPr>
        <w:pStyle w:val="818"/>
        <w:ind w:firstLine="709"/>
        <w:jc w:val="both"/>
        <w:rPr>
          <w:rStyle w:val="851"/>
          <w:rFonts w:ascii="PT Astra Serif" w:hAnsi="PT Astra Serif" w:eastAsia="Courier New" w:cs="Times New Roman"/>
          <w:sz w:val="28"/>
          <w:szCs w:val="28"/>
        </w:rPr>
      </w:pPr>
      <w:r>
        <w:rPr>
          <w:rStyle w:val="850"/>
          <w:rFonts w:ascii="PT Astra Serif" w:hAnsi="PT Astra Serif" w:eastAsia="Courier New" w:cs="Times New Roman"/>
          <w:color w:val="000000"/>
          <w:spacing w:val="-3"/>
          <w:sz w:val="28"/>
          <w:szCs w:val="28"/>
        </w:rPr>
        <w:t xml:space="preserve">Кадровым работником Департамента своевременно организуется проверка персональных данных, предоставляемых кандидатами на замещение должности государственной гражданской службы, на должности работников, осуществляю</w:t>
      </w:r>
      <w:r>
        <w:rPr>
          <w:rStyle w:val="850"/>
          <w:rFonts w:ascii="PT Astra Serif" w:hAnsi="PT Astra Serif" w:eastAsia="Courier New" w:cs="Times New Roman"/>
          <w:color w:val="000000"/>
          <w:spacing w:val="-3"/>
          <w:sz w:val="28"/>
          <w:szCs w:val="28"/>
        </w:rPr>
        <w:t xml:space="preserve">щих обеспечение, и обслуживающего персонала. При назначении на должность государственной гражданской службы к гражданам, претендующим на замещение вакантных должностей, предъявляются квалификационные требования, установленные действующим законодательством.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  <w:rPr>
          <w:rStyle w:val="850"/>
          <w:rFonts w:ascii="PT Astra Serif" w:hAnsi="PT Astra Serif" w:eastAsia="Courier New" w:cs="Times New Roman"/>
          <w:color w:val="000000"/>
          <w:spacing w:val="-3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lang w:eastAsia="ru-RU"/>
        </w:rPr>
        <w:t xml:space="preserve">В 2025 году в Департамент на должность государственной гражданской службы Томской области были назначены 3 граждан. При анализе сведений, содержащихся в их анкете, возможного конфликта интересов не выявлено. </w:t>
      </w:r>
      <w:r>
        <w:rPr>
          <w:rStyle w:val="850"/>
          <w:rFonts w:ascii="PT Astra Serif" w:hAnsi="PT Astra Serif" w:eastAsia="Courier New" w:cs="Times New Roman"/>
          <w:color w:val="000000"/>
          <w:spacing w:val="-3"/>
          <w:sz w:val="28"/>
          <w:szCs w:val="28"/>
        </w:rPr>
      </w:r>
      <w:r/>
    </w:p>
    <w:p>
      <w:pPr>
        <w:ind w:firstLine="709"/>
        <w:jc w:val="both"/>
        <w:rPr>
          <w:rFonts w:ascii="PT Astra Serif" w:hAnsi="PT Astra Serif" w:eastAsia="Courier New" w:cs="Times New Roman"/>
          <w:sz w:val="28"/>
          <w:szCs w:val="28"/>
          <w:highlight w:val="none"/>
        </w:rPr>
      </w:pPr>
      <w:r>
        <w:rPr>
          <w:rFonts w:ascii="PT Astra Serif" w:hAnsi="PT Astra Serif" w:eastAsia="Courier New" w:cs="Times New Roman"/>
          <w:sz w:val="28"/>
          <w:szCs w:val="28"/>
          <w:highlight w:val="none"/>
        </w:rPr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В 2025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 год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у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 в соответствии с 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Указом Президента Российской Федерации от 10.10.2024 № 870 «О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актуализации» 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анкет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ы для поступления на государственную службу Российской Федерации и муниципальную службу в Российской Федерации заполнили и представили 27 государственных гражданских служащих и при назначении на должность государственной гражданской службы Томской области 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- 3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 граждан</w:t>
      </w:r>
      <w:r>
        <w:rPr>
          <w:rFonts w:ascii="PT Astra Serif" w:hAnsi="PT Astra Serif" w:eastAsia="Courier New" w:cs="Times New Roman"/>
          <w:sz w:val="28"/>
          <w:szCs w:val="28"/>
        </w:rPr>
        <w:t xml:space="preserve">. 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</w:r>
    </w:p>
    <w:p>
      <w:pPr>
        <w:ind w:firstLine="709"/>
        <w:jc w:val="both"/>
        <w:rPr>
          <w:rFonts w:ascii="PT Astra Serif" w:hAnsi="PT Astra Serif" w:eastAsia="Courier New" w:cs="Times New Roman"/>
          <w:sz w:val="28"/>
          <w:szCs w:val="28"/>
          <w:highlight w:val="none"/>
        </w:rPr>
      </w:pPr>
      <w:r>
        <w:rPr>
          <w:rFonts w:ascii="PT Astra Serif" w:hAnsi="PT Astra Serif" w:eastAsia="Courier New" w:cs="Times New Roman"/>
          <w:sz w:val="28"/>
          <w:szCs w:val="28"/>
          <w:highlight w:val="none"/>
        </w:rPr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Во исполнение пункта 1.9 раздела 2 региональной программы противодействия коррупции в Томской области на 2025 - 2028 годы, утвержденной распоряжением Администрации Томской области от 10.02.2025 № 90-ра, проведен анализ указанных 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анкет в целях выявления возможного конфликта интересов. 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В ходе проведенного анализа 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возможного конфликта интересов не выявлено.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</w:r>
      <w:r/>
    </w:p>
    <w:p>
      <w:pPr>
        <w:ind w:firstLine="709"/>
        <w:jc w:val="both"/>
        <w:rPr>
          <w:rFonts w:ascii="PT Astra Serif" w:hAnsi="PT Astra Serif" w:eastAsia="Courier New" w:cs="Times New Roman"/>
          <w:sz w:val="28"/>
          <w:szCs w:val="28"/>
          <w14:ligatures w14:val="none"/>
        </w:rPr>
      </w:pPr>
      <w:r>
        <w:rPr>
          <w:rFonts w:ascii="PT Astra Serif" w:hAnsi="PT Astra Serif" w:cs="Times New Roman"/>
          <w:sz w:val="28"/>
          <w:szCs w:val="28"/>
          <w:lang w:eastAsia="ru-RU"/>
        </w:rPr>
      </w:r>
      <w:r>
        <w:rPr>
          <w:rFonts w:ascii="PT Astra Serif" w:hAnsi="PT Astra Serif" w:eastAsia="Courier New" w:cs="Times New Roman"/>
          <w:sz w:val="28"/>
          <w:szCs w:val="28"/>
        </w:rPr>
        <w:t xml:space="preserve">Во втором полугодии 2025 года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была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пров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едена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актуализация сведений, содержащихся в анкетах лиц, представляемых при поступлении на государственную гражданскую службу, государственных гражданских служащих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Департамента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об их родственниках и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свойственниках в целях выявления возможного конфликта интересов</w:t>
      </w:r>
      <w:r>
        <w:rPr>
          <w:rFonts w:ascii="PT Astra Serif" w:hAnsi="PT Astra Serif" w:eastAsia="Courier New" w:cs="Times New Roman"/>
          <w:sz w:val="28"/>
          <w:szCs w:val="28"/>
        </w:rPr>
        <w:t xml:space="preserve">.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Из 27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государственных гражданских служащих Департамента 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7 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актуализировали ранее поданные сведения о родственника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х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 и свойственниках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, </w:t>
      </w:r>
      <w:r>
        <w:rPr>
          <w:rFonts w:ascii="PT Astra Serif" w:hAnsi="PT Astra Serif" w:eastAsia="Courier New" w:cs="Times New Roman"/>
          <w:sz w:val="28"/>
          <w:szCs w:val="28"/>
          <w:highlight w:val="none"/>
        </w:rPr>
        <w:t xml:space="preserve">у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остальны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х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государственны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х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граждански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х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служащи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х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Департамент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а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представленные ранее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сведения являются актуальными.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eastAsia="Courier New" w:cs="Times New Roman"/>
          <w:sz w:val="28"/>
          <w:szCs w:val="28"/>
          <w14:ligatures w14:val="none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</w:rPr>
      </w:pPr>
      <w:r>
        <w:rPr>
          <w:rFonts w:ascii="PT Astra Serif" w:hAnsi="PT Astra Serif" w:eastAsia="Courier New" w:cs="Times New Roman"/>
          <w:sz w:val="28"/>
          <w:szCs w:val="28"/>
        </w:rPr>
        <w:t xml:space="preserve">В ходе п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роведенного анализа указанных сведений, содержащихся в анкетах лиц, представляемых при назначении на должности государственной гражданской службы Томской области Департамента, об их родственниках и свойственниках возможного конфликта интересов не выявлено.</w:t>
      </w:r>
      <w:r>
        <w:rPr>
          <w:rFonts w:ascii="PT Astra Serif" w:hAnsi="PT Astra Serif" w:eastAsia="Courier New" w:cs="Times New Roman"/>
        </w:rPr>
      </w:r>
      <w:r/>
    </w:p>
    <w:sectPr>
      <w:footnotePr/>
      <w:endnotePr/>
      <w:type w:val="nextPage"/>
      <w:pgSz w:w="11906" w:h="16838" w:orient="portrait"/>
      <w:pgMar w:top="1134" w:right="851" w:bottom="1389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Microsoft YaHei">
    <w:panose1 w:val="020B0503020204020204"/>
  </w:font>
  <w:font w:name="Times New Roman">
    <w:panose1 w:val="02020603050405020304"/>
  </w:font>
  <w:font w:name="SimSun">
    <w:panose1 w:val="02010600030101010101"/>
  </w:font>
  <w:font w:name="Liberation Serif">
    <w:panose1 w:val="02020603050405020304"/>
  </w:font>
  <w:font w:name="Lucida Sans Unicode">
    <w:panose1 w:val="020B0602030504020204"/>
  </w:font>
  <w:font w:name="Courier New">
    <w:panose1 w:val="02070309020205020404"/>
  </w:font>
  <w:font w:name="OpenSymbol">
    <w:panose1 w:val="05010000000000000000"/>
  </w:font>
  <w:font w:name="Mangal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9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684" w:hanging="975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basedOn w:val="818"/>
    <w:next w:val="818"/>
    <w:link w:val="6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1">
    <w:name w:val="Heading 1 Char"/>
    <w:link w:val="640"/>
    <w:uiPriority w:val="9"/>
    <w:rPr>
      <w:rFonts w:ascii="Arial" w:hAnsi="Arial" w:eastAsia="Arial" w:cs="Arial"/>
      <w:sz w:val="40"/>
      <w:szCs w:val="40"/>
    </w:rPr>
  </w:style>
  <w:style w:type="paragraph" w:styleId="642">
    <w:name w:val="Heading 2"/>
    <w:basedOn w:val="818"/>
    <w:next w:val="818"/>
    <w:link w:val="6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3">
    <w:name w:val="Heading 2 Char"/>
    <w:link w:val="642"/>
    <w:uiPriority w:val="9"/>
    <w:rPr>
      <w:rFonts w:ascii="Arial" w:hAnsi="Arial" w:eastAsia="Arial" w:cs="Arial"/>
      <w:sz w:val="34"/>
    </w:rPr>
  </w:style>
  <w:style w:type="paragraph" w:styleId="644">
    <w:name w:val="Heading 3"/>
    <w:basedOn w:val="818"/>
    <w:next w:val="818"/>
    <w:link w:val="6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5">
    <w:name w:val="Heading 3 Char"/>
    <w:link w:val="644"/>
    <w:uiPriority w:val="9"/>
    <w:rPr>
      <w:rFonts w:ascii="Arial" w:hAnsi="Arial" w:eastAsia="Arial" w:cs="Arial"/>
      <w:sz w:val="30"/>
      <w:szCs w:val="30"/>
    </w:rPr>
  </w:style>
  <w:style w:type="paragraph" w:styleId="646">
    <w:name w:val="Heading 4"/>
    <w:basedOn w:val="818"/>
    <w:next w:val="818"/>
    <w:link w:val="6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7">
    <w:name w:val="Heading 4 Char"/>
    <w:link w:val="646"/>
    <w:uiPriority w:val="9"/>
    <w:rPr>
      <w:rFonts w:ascii="Arial" w:hAnsi="Arial" w:eastAsia="Arial" w:cs="Arial"/>
      <w:b/>
      <w:bCs/>
      <w:sz w:val="26"/>
      <w:szCs w:val="26"/>
    </w:rPr>
  </w:style>
  <w:style w:type="paragraph" w:styleId="648">
    <w:name w:val="Heading 5"/>
    <w:basedOn w:val="818"/>
    <w:next w:val="818"/>
    <w:link w:val="6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9">
    <w:name w:val="Heading 5 Char"/>
    <w:link w:val="648"/>
    <w:uiPriority w:val="9"/>
    <w:rPr>
      <w:rFonts w:ascii="Arial" w:hAnsi="Arial" w:eastAsia="Arial" w:cs="Arial"/>
      <w:b/>
      <w:bCs/>
      <w:sz w:val="24"/>
      <w:szCs w:val="24"/>
    </w:rPr>
  </w:style>
  <w:style w:type="paragraph" w:styleId="650">
    <w:name w:val="Heading 6"/>
    <w:basedOn w:val="818"/>
    <w:next w:val="818"/>
    <w:link w:val="6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1">
    <w:name w:val="Heading 6 Char"/>
    <w:link w:val="650"/>
    <w:uiPriority w:val="9"/>
    <w:rPr>
      <w:rFonts w:ascii="Arial" w:hAnsi="Arial" w:eastAsia="Arial" w:cs="Arial"/>
      <w:b/>
      <w:bCs/>
      <w:sz w:val="22"/>
      <w:szCs w:val="22"/>
    </w:rPr>
  </w:style>
  <w:style w:type="paragraph" w:styleId="652">
    <w:name w:val="Heading 7"/>
    <w:basedOn w:val="818"/>
    <w:next w:val="818"/>
    <w:link w:val="6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3">
    <w:name w:val="Heading 7 Char"/>
    <w:link w:val="6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4">
    <w:name w:val="Heading 8"/>
    <w:basedOn w:val="818"/>
    <w:next w:val="818"/>
    <w:link w:val="6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5">
    <w:name w:val="Heading 8 Char"/>
    <w:link w:val="654"/>
    <w:uiPriority w:val="9"/>
    <w:rPr>
      <w:rFonts w:ascii="Arial" w:hAnsi="Arial" w:eastAsia="Arial" w:cs="Arial"/>
      <w:i/>
      <w:iCs/>
      <w:sz w:val="22"/>
      <w:szCs w:val="22"/>
    </w:rPr>
  </w:style>
  <w:style w:type="paragraph" w:styleId="656">
    <w:name w:val="Heading 9"/>
    <w:basedOn w:val="818"/>
    <w:next w:val="818"/>
    <w:link w:val="6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7">
    <w:name w:val="Heading 9 Char"/>
    <w:link w:val="656"/>
    <w:uiPriority w:val="9"/>
    <w:rPr>
      <w:rFonts w:ascii="Arial" w:hAnsi="Arial" w:eastAsia="Arial" w:cs="Arial"/>
      <w:i/>
      <w:iCs/>
      <w:sz w:val="21"/>
      <w:szCs w:val="21"/>
    </w:rPr>
  </w:style>
  <w:style w:type="paragraph" w:styleId="658">
    <w:name w:val="List Paragraph"/>
    <w:basedOn w:val="818"/>
    <w:uiPriority w:val="34"/>
    <w:qFormat/>
    <w:pPr>
      <w:contextualSpacing/>
      <w:ind w:left="720"/>
    </w:pPr>
  </w:style>
  <w:style w:type="paragraph" w:styleId="659">
    <w:name w:val="No Spacing"/>
    <w:uiPriority w:val="1"/>
    <w:qFormat/>
    <w:pPr>
      <w:spacing w:before="0" w:after="0" w:line="240" w:lineRule="auto"/>
    </w:pPr>
  </w:style>
  <w:style w:type="paragraph" w:styleId="660">
    <w:name w:val="Title"/>
    <w:basedOn w:val="818"/>
    <w:next w:val="818"/>
    <w:link w:val="6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1">
    <w:name w:val="Title Char"/>
    <w:link w:val="660"/>
    <w:uiPriority w:val="10"/>
    <w:rPr>
      <w:sz w:val="48"/>
      <w:szCs w:val="48"/>
    </w:rPr>
  </w:style>
  <w:style w:type="paragraph" w:styleId="662">
    <w:name w:val="Subtitle"/>
    <w:basedOn w:val="818"/>
    <w:next w:val="818"/>
    <w:link w:val="663"/>
    <w:uiPriority w:val="11"/>
    <w:qFormat/>
    <w:pPr>
      <w:spacing w:before="200" w:after="200"/>
    </w:pPr>
    <w:rPr>
      <w:sz w:val="24"/>
      <w:szCs w:val="24"/>
    </w:rPr>
  </w:style>
  <w:style w:type="character" w:styleId="663">
    <w:name w:val="Subtitle Char"/>
    <w:link w:val="662"/>
    <w:uiPriority w:val="11"/>
    <w:rPr>
      <w:sz w:val="24"/>
      <w:szCs w:val="24"/>
    </w:rPr>
  </w:style>
  <w:style w:type="paragraph" w:styleId="664">
    <w:name w:val="Quote"/>
    <w:basedOn w:val="818"/>
    <w:next w:val="818"/>
    <w:link w:val="665"/>
    <w:uiPriority w:val="29"/>
    <w:qFormat/>
    <w:pPr>
      <w:ind w:left="720" w:right="720"/>
    </w:pPr>
    <w:rPr>
      <w:i/>
    </w:rPr>
  </w:style>
  <w:style w:type="character" w:styleId="665">
    <w:name w:val="Quote Char"/>
    <w:link w:val="664"/>
    <w:uiPriority w:val="29"/>
    <w:rPr>
      <w:i/>
    </w:rPr>
  </w:style>
  <w:style w:type="paragraph" w:styleId="666">
    <w:name w:val="Intense Quote"/>
    <w:basedOn w:val="818"/>
    <w:next w:val="818"/>
    <w:link w:val="6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7">
    <w:name w:val="Intense Quote Char"/>
    <w:link w:val="666"/>
    <w:uiPriority w:val="30"/>
    <w:rPr>
      <w:i/>
    </w:rPr>
  </w:style>
  <w:style w:type="paragraph" w:styleId="668">
    <w:name w:val="Header"/>
    <w:basedOn w:val="818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Header Char"/>
    <w:link w:val="668"/>
    <w:uiPriority w:val="99"/>
  </w:style>
  <w:style w:type="paragraph" w:styleId="670">
    <w:name w:val="Footer"/>
    <w:basedOn w:val="818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>
    <w:name w:val="Footer Char"/>
    <w:link w:val="670"/>
    <w:uiPriority w:val="99"/>
  </w:style>
  <w:style w:type="paragraph" w:styleId="672">
    <w:name w:val="Caption"/>
    <w:basedOn w:val="818"/>
    <w:next w:val="8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3">
    <w:name w:val="Caption Char"/>
    <w:basedOn w:val="672"/>
    <w:link w:val="670"/>
    <w:uiPriority w:val="99"/>
  </w:style>
  <w:style w:type="table" w:styleId="67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basedOn w:val="818"/>
    <w:link w:val="802"/>
    <w:uiPriority w:val="99"/>
    <w:semiHidden/>
    <w:unhideWhenUsed/>
    <w:pPr>
      <w:spacing w:after="40" w:line="240" w:lineRule="auto"/>
    </w:pPr>
    <w:rPr>
      <w:sz w:val="18"/>
    </w:r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uiPriority w:val="99"/>
    <w:unhideWhenUsed/>
    <w:rPr>
      <w:vertAlign w:val="superscript"/>
    </w:rPr>
  </w:style>
  <w:style w:type="paragraph" w:styleId="804">
    <w:name w:val="endnote text"/>
    <w:basedOn w:val="818"/>
    <w:link w:val="805"/>
    <w:uiPriority w:val="99"/>
    <w:semiHidden/>
    <w:unhideWhenUsed/>
    <w:pPr>
      <w:spacing w:after="0" w:line="240" w:lineRule="auto"/>
    </w:pPr>
    <w:rPr>
      <w:sz w:val="20"/>
    </w:r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uiPriority w:val="99"/>
    <w:semiHidden/>
    <w:unhideWhenUsed/>
    <w:rPr>
      <w:vertAlign w:val="superscript"/>
    </w:rPr>
  </w:style>
  <w:style w:type="paragraph" w:styleId="807">
    <w:name w:val="toc 1"/>
    <w:basedOn w:val="818"/>
    <w:next w:val="818"/>
    <w:uiPriority w:val="39"/>
    <w:unhideWhenUsed/>
    <w:pPr>
      <w:ind w:left="0" w:right="0" w:firstLine="0"/>
      <w:spacing w:after="57"/>
    </w:pPr>
  </w:style>
  <w:style w:type="paragraph" w:styleId="808">
    <w:name w:val="toc 2"/>
    <w:basedOn w:val="818"/>
    <w:next w:val="818"/>
    <w:uiPriority w:val="39"/>
    <w:unhideWhenUsed/>
    <w:pPr>
      <w:ind w:left="283" w:right="0" w:firstLine="0"/>
      <w:spacing w:after="57"/>
    </w:pPr>
  </w:style>
  <w:style w:type="paragraph" w:styleId="809">
    <w:name w:val="toc 3"/>
    <w:basedOn w:val="818"/>
    <w:next w:val="818"/>
    <w:uiPriority w:val="39"/>
    <w:unhideWhenUsed/>
    <w:pPr>
      <w:ind w:left="567" w:right="0" w:firstLine="0"/>
      <w:spacing w:after="57"/>
    </w:pPr>
  </w:style>
  <w:style w:type="paragraph" w:styleId="810">
    <w:name w:val="toc 4"/>
    <w:basedOn w:val="818"/>
    <w:next w:val="818"/>
    <w:uiPriority w:val="39"/>
    <w:unhideWhenUsed/>
    <w:pPr>
      <w:ind w:left="850" w:right="0" w:firstLine="0"/>
      <w:spacing w:after="57"/>
    </w:pPr>
  </w:style>
  <w:style w:type="paragraph" w:styleId="811">
    <w:name w:val="toc 5"/>
    <w:basedOn w:val="818"/>
    <w:next w:val="818"/>
    <w:uiPriority w:val="39"/>
    <w:unhideWhenUsed/>
    <w:pPr>
      <w:ind w:left="1134" w:right="0" w:firstLine="0"/>
      <w:spacing w:after="57"/>
    </w:pPr>
  </w:style>
  <w:style w:type="paragraph" w:styleId="812">
    <w:name w:val="toc 6"/>
    <w:basedOn w:val="818"/>
    <w:next w:val="818"/>
    <w:uiPriority w:val="39"/>
    <w:unhideWhenUsed/>
    <w:pPr>
      <w:ind w:left="1417" w:right="0" w:firstLine="0"/>
      <w:spacing w:after="57"/>
    </w:pPr>
  </w:style>
  <w:style w:type="paragraph" w:styleId="813">
    <w:name w:val="toc 7"/>
    <w:basedOn w:val="818"/>
    <w:next w:val="818"/>
    <w:uiPriority w:val="39"/>
    <w:unhideWhenUsed/>
    <w:pPr>
      <w:ind w:left="1701" w:right="0" w:firstLine="0"/>
      <w:spacing w:after="57"/>
    </w:pPr>
  </w:style>
  <w:style w:type="paragraph" w:styleId="814">
    <w:name w:val="toc 8"/>
    <w:basedOn w:val="818"/>
    <w:next w:val="818"/>
    <w:uiPriority w:val="39"/>
    <w:unhideWhenUsed/>
    <w:pPr>
      <w:ind w:left="1984" w:right="0" w:firstLine="0"/>
      <w:spacing w:after="57"/>
    </w:pPr>
  </w:style>
  <w:style w:type="paragraph" w:styleId="815">
    <w:name w:val="toc 9"/>
    <w:basedOn w:val="818"/>
    <w:next w:val="818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basedOn w:val="818"/>
    <w:next w:val="818"/>
    <w:uiPriority w:val="99"/>
    <w:unhideWhenUsed/>
    <w:pPr>
      <w:spacing w:after="0" w:afterAutospacing="0"/>
    </w:pPr>
  </w:style>
  <w:style w:type="paragraph" w:styleId="818" w:default="1">
    <w:name w:val="Normal"/>
    <w:next w:val="818"/>
    <w:link w:val="818"/>
    <w:qFormat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819">
    <w:name w:val="Заголовок 1"/>
    <w:basedOn w:val="859"/>
    <w:next w:val="860"/>
    <w:link w:val="818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820">
    <w:name w:val="Основной шрифт абзаца"/>
    <w:next w:val="820"/>
    <w:link w:val="818"/>
    <w:semiHidden/>
  </w:style>
  <w:style w:type="table" w:styleId="821">
    <w:name w:val="Обычная таблица"/>
    <w:next w:val="821"/>
    <w:link w:val="818"/>
    <w:semiHidden/>
    <w:tblPr/>
  </w:style>
  <w:style w:type="numbering" w:styleId="822">
    <w:name w:val="Нет списка"/>
    <w:next w:val="822"/>
    <w:link w:val="818"/>
    <w:semiHidden/>
  </w:style>
  <w:style w:type="character" w:styleId="823">
    <w:name w:val="WW8Num1z0"/>
    <w:next w:val="823"/>
    <w:link w:val="818"/>
  </w:style>
  <w:style w:type="character" w:styleId="824">
    <w:name w:val="WW8Num1z1"/>
    <w:next w:val="824"/>
    <w:link w:val="818"/>
  </w:style>
  <w:style w:type="character" w:styleId="825">
    <w:name w:val="WW8Num1z2"/>
    <w:next w:val="825"/>
    <w:link w:val="818"/>
  </w:style>
  <w:style w:type="character" w:styleId="826">
    <w:name w:val="WW8Num1z3"/>
    <w:next w:val="826"/>
    <w:link w:val="818"/>
  </w:style>
  <w:style w:type="character" w:styleId="827">
    <w:name w:val="WW8Num1z4"/>
    <w:next w:val="827"/>
    <w:link w:val="818"/>
  </w:style>
  <w:style w:type="character" w:styleId="828">
    <w:name w:val="WW8Num1z5"/>
    <w:next w:val="828"/>
    <w:link w:val="818"/>
  </w:style>
  <w:style w:type="character" w:styleId="829">
    <w:name w:val="WW8Num1z6"/>
    <w:next w:val="829"/>
    <w:link w:val="818"/>
  </w:style>
  <w:style w:type="character" w:styleId="830">
    <w:name w:val="WW8Num1z7"/>
    <w:next w:val="830"/>
    <w:link w:val="818"/>
  </w:style>
  <w:style w:type="character" w:styleId="831">
    <w:name w:val="WW8Num1z8"/>
    <w:next w:val="831"/>
    <w:link w:val="818"/>
  </w:style>
  <w:style w:type="character" w:styleId="832">
    <w:name w:val="WW8Num2z0"/>
    <w:next w:val="832"/>
    <w:link w:val="818"/>
  </w:style>
  <w:style w:type="character" w:styleId="833">
    <w:name w:val="WW8Num2z1"/>
    <w:next w:val="833"/>
    <w:link w:val="818"/>
  </w:style>
  <w:style w:type="character" w:styleId="834">
    <w:name w:val="WW8Num2z2"/>
    <w:next w:val="834"/>
    <w:link w:val="818"/>
  </w:style>
  <w:style w:type="character" w:styleId="835">
    <w:name w:val="WW8Num2z3"/>
    <w:next w:val="835"/>
    <w:link w:val="818"/>
  </w:style>
  <w:style w:type="character" w:styleId="836">
    <w:name w:val="WW8Num2z4"/>
    <w:next w:val="836"/>
    <w:link w:val="818"/>
  </w:style>
  <w:style w:type="character" w:styleId="837">
    <w:name w:val="WW8Num2z5"/>
    <w:next w:val="837"/>
    <w:link w:val="818"/>
  </w:style>
  <w:style w:type="character" w:styleId="838">
    <w:name w:val="WW8Num2z6"/>
    <w:next w:val="838"/>
    <w:link w:val="818"/>
  </w:style>
  <w:style w:type="character" w:styleId="839">
    <w:name w:val="WW8Num2z7"/>
    <w:next w:val="839"/>
    <w:link w:val="818"/>
  </w:style>
  <w:style w:type="character" w:styleId="840">
    <w:name w:val="WW8Num2z8"/>
    <w:next w:val="840"/>
    <w:link w:val="818"/>
  </w:style>
  <w:style w:type="character" w:styleId="841">
    <w:name w:val="WW8Num3z0"/>
    <w:next w:val="841"/>
    <w:link w:val="818"/>
  </w:style>
  <w:style w:type="character" w:styleId="842">
    <w:name w:val="WW8Num3z1"/>
    <w:next w:val="842"/>
    <w:link w:val="818"/>
  </w:style>
  <w:style w:type="character" w:styleId="843">
    <w:name w:val="WW8Num3z2"/>
    <w:next w:val="843"/>
    <w:link w:val="818"/>
  </w:style>
  <w:style w:type="character" w:styleId="844">
    <w:name w:val="WW8Num3z3"/>
    <w:next w:val="844"/>
    <w:link w:val="818"/>
  </w:style>
  <w:style w:type="character" w:styleId="845">
    <w:name w:val="WW8Num3z4"/>
    <w:next w:val="845"/>
    <w:link w:val="818"/>
  </w:style>
  <w:style w:type="character" w:styleId="846">
    <w:name w:val="WW8Num3z5"/>
    <w:next w:val="846"/>
    <w:link w:val="818"/>
  </w:style>
  <w:style w:type="character" w:styleId="847">
    <w:name w:val="WW8Num3z6"/>
    <w:next w:val="847"/>
    <w:link w:val="818"/>
  </w:style>
  <w:style w:type="character" w:styleId="848">
    <w:name w:val="WW8Num3z7"/>
    <w:next w:val="848"/>
    <w:link w:val="818"/>
  </w:style>
  <w:style w:type="character" w:styleId="849">
    <w:name w:val="WW8Num3z8"/>
    <w:next w:val="849"/>
    <w:link w:val="818"/>
  </w:style>
  <w:style w:type="character" w:styleId="850">
    <w:name w:val="Основной шрифт абзаца3"/>
    <w:next w:val="850"/>
    <w:link w:val="818"/>
  </w:style>
  <w:style w:type="character" w:styleId="851">
    <w:name w:val="Основной шрифт абзаца2"/>
    <w:next w:val="851"/>
    <w:link w:val="818"/>
  </w:style>
  <w:style w:type="character" w:styleId="852">
    <w:name w:val="RTF_Num 2 1"/>
    <w:next w:val="852"/>
    <w:link w:val="818"/>
    <w:rPr>
      <w:rFonts w:ascii="Times New Roman" w:hAnsi="Times New Roman" w:cs="Times New Roman"/>
    </w:rPr>
  </w:style>
  <w:style w:type="character" w:styleId="853">
    <w:name w:val="Символ нумерации"/>
    <w:next w:val="853"/>
    <w:link w:val="818"/>
  </w:style>
  <w:style w:type="character" w:styleId="854">
    <w:name w:val="Маркеры списка"/>
    <w:next w:val="854"/>
    <w:link w:val="818"/>
    <w:rPr>
      <w:rFonts w:ascii="OpenSymbol" w:hAnsi="OpenSymbol" w:eastAsia="OpenSymbol" w:cs="OpenSymbol"/>
    </w:rPr>
  </w:style>
  <w:style w:type="character" w:styleId="855">
    <w:name w:val="Строгий"/>
    <w:next w:val="855"/>
    <w:link w:val="818"/>
    <w:uiPriority w:val="22"/>
    <w:qFormat/>
    <w:rPr>
      <w:b/>
      <w:bCs/>
    </w:rPr>
  </w:style>
  <w:style w:type="character" w:styleId="856">
    <w:name w:val="WW_CharLFO1LVL1"/>
    <w:next w:val="856"/>
    <w:link w:val="818"/>
    <w:rPr>
      <w:rFonts w:ascii="Times New Roman" w:hAnsi="Times New Roman" w:cs="Times New Roman"/>
    </w:rPr>
  </w:style>
  <w:style w:type="character" w:styleId="857">
    <w:name w:val="Основной шрифт абзаца1"/>
    <w:next w:val="857"/>
    <w:link w:val="818"/>
  </w:style>
  <w:style w:type="character" w:styleId="858">
    <w:name w:val="Гиперссылка"/>
    <w:next w:val="858"/>
    <w:link w:val="818"/>
    <w:rPr>
      <w:color w:val="000080"/>
      <w:u w:val="single"/>
      <w:lang w:val="en-US" w:eastAsia="en-US" w:bidi="en-US"/>
    </w:rPr>
  </w:style>
  <w:style w:type="paragraph" w:styleId="859">
    <w:name w:val="Заголовок"/>
    <w:basedOn w:val="818"/>
    <w:next w:val="860"/>
    <w:link w:val="818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860">
    <w:name w:val="Основной текст"/>
    <w:basedOn w:val="818"/>
    <w:next w:val="860"/>
    <w:link w:val="883"/>
    <w:pPr>
      <w:spacing w:before="0" w:after="120"/>
    </w:pPr>
  </w:style>
  <w:style w:type="paragraph" w:styleId="861">
    <w:name w:val="Список"/>
    <w:basedOn w:val="860"/>
    <w:next w:val="861"/>
    <w:link w:val="818"/>
    <w:rPr>
      <w:sz w:val="24"/>
    </w:rPr>
  </w:style>
  <w:style w:type="paragraph" w:styleId="862">
    <w:name w:val="Название объекта"/>
    <w:basedOn w:val="818"/>
    <w:next w:val="862"/>
    <w:link w:val="818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63">
    <w:name w:val="Указатель2"/>
    <w:basedOn w:val="818"/>
    <w:next w:val="863"/>
    <w:link w:val="818"/>
    <w:pPr>
      <w:suppressLineNumbers/>
    </w:pPr>
    <w:rPr>
      <w:rFonts w:cs="Mangal"/>
    </w:rPr>
  </w:style>
  <w:style w:type="paragraph" w:styleId="864">
    <w:name w:val="Обычный1"/>
    <w:next w:val="864"/>
    <w:link w:val="818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865">
    <w:name w:val="Название объекта2"/>
    <w:basedOn w:val="818"/>
    <w:next w:val="860"/>
    <w:link w:val="818"/>
    <w:pPr>
      <w:keepNext/>
      <w:spacing w:before="240" w:after="120"/>
    </w:pPr>
    <w:rPr>
      <w:sz w:val="28"/>
      <w:szCs w:val="28"/>
    </w:rPr>
  </w:style>
  <w:style w:type="paragraph" w:styleId="866">
    <w:name w:val="Название"/>
    <w:basedOn w:val="818"/>
    <w:next w:val="860"/>
    <w:link w:val="818"/>
    <w:qFormat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867">
    <w:name w:val="Подзаголовок"/>
    <w:basedOn w:val="865"/>
    <w:next w:val="860"/>
    <w:link w:val="818"/>
    <w:qFormat/>
    <w:pPr>
      <w:jc w:val="center"/>
    </w:pPr>
    <w:rPr>
      <w:i/>
      <w:iCs/>
    </w:rPr>
  </w:style>
  <w:style w:type="paragraph" w:styleId="868">
    <w:name w:val="Название объекта1"/>
    <w:basedOn w:val="818"/>
    <w:next w:val="868"/>
    <w:link w:val="818"/>
    <w:pPr>
      <w:spacing w:before="120" w:after="120"/>
      <w:suppressLineNumbers/>
    </w:pPr>
    <w:rPr>
      <w:i/>
      <w:iCs/>
      <w:sz w:val="24"/>
    </w:rPr>
  </w:style>
  <w:style w:type="paragraph" w:styleId="869">
    <w:name w:val="Указатель1"/>
    <w:basedOn w:val="818"/>
    <w:next w:val="869"/>
    <w:link w:val="818"/>
    <w:pPr>
      <w:suppressLineNumbers/>
    </w:pPr>
    <w:rPr>
      <w:sz w:val="24"/>
    </w:rPr>
  </w:style>
  <w:style w:type="paragraph" w:styleId="870">
    <w:name w:val="Красная строка1"/>
    <w:basedOn w:val="860"/>
    <w:next w:val="870"/>
    <w:link w:val="818"/>
    <w:pPr>
      <w:ind w:left="0" w:right="0" w:firstLine="709"/>
      <w:spacing w:before="0" w:after="0"/>
    </w:pPr>
  </w:style>
  <w:style w:type="paragraph" w:styleId="871">
    <w:name w:val="Содержимое врезки"/>
    <w:basedOn w:val="860"/>
    <w:next w:val="871"/>
    <w:link w:val="818"/>
  </w:style>
  <w:style w:type="paragraph" w:styleId="872">
    <w:name w:val="Содержимое таблицы"/>
    <w:basedOn w:val="818"/>
    <w:next w:val="872"/>
    <w:link w:val="818"/>
    <w:pPr>
      <w:suppressLineNumbers/>
    </w:pPr>
  </w:style>
  <w:style w:type="paragraph" w:styleId="873">
    <w:name w:val="western"/>
    <w:basedOn w:val="818"/>
    <w:next w:val="873"/>
    <w:link w:val="818"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color w:val="00000a"/>
      <w:sz w:val="22"/>
      <w:szCs w:val="22"/>
      <w:lang w:eastAsia="ru-RU" w:bidi="ar-SA"/>
    </w:rPr>
  </w:style>
  <w:style w:type="paragraph" w:styleId="874">
    <w:name w:val="Название1"/>
    <w:basedOn w:val="818"/>
    <w:next w:val="874"/>
    <w:link w:val="818"/>
    <w:pPr>
      <w:spacing w:before="120" w:after="12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uppressLineNumbers/>
    </w:pPr>
    <w:rPr>
      <w:rFonts w:ascii="Times New Roman" w:hAnsi="Times New Roman" w:eastAsia="Times New Roman"/>
      <w:i/>
      <w:iCs/>
      <w:sz w:val="24"/>
      <w:lang w:bidi="ar-SA"/>
    </w:rPr>
  </w:style>
  <w:style w:type="paragraph" w:styleId="875">
    <w:name w:val="первая-строка-с-отступом-western"/>
    <w:basedOn w:val="818"/>
    <w:next w:val="875"/>
    <w:link w:val="818"/>
    <w:pPr>
      <w:ind w:firstLine="709"/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8"/>
      <w:szCs w:val="28"/>
      <w:lang w:eastAsia="ru-RU" w:bidi="ar-SA"/>
    </w:rPr>
  </w:style>
  <w:style w:type="paragraph" w:styleId="876">
    <w:name w:val="Основной текст с отступом"/>
    <w:basedOn w:val="818"/>
    <w:next w:val="876"/>
    <w:link w:val="877"/>
    <w:pPr>
      <w:ind w:left="283"/>
      <w:spacing w:after="120"/>
    </w:pPr>
  </w:style>
  <w:style w:type="character" w:styleId="877">
    <w:name w:val="Основной текст с отступом Знак"/>
    <w:next w:val="877"/>
    <w:link w:val="876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78">
    <w:name w:val="Выделение"/>
    <w:next w:val="878"/>
    <w:link w:val="818"/>
    <w:uiPriority w:val="20"/>
    <w:qFormat/>
    <w:rPr>
      <w:i/>
      <w:iCs/>
    </w:rPr>
  </w:style>
  <w:style w:type="paragraph" w:styleId="879">
    <w:name w:val="Обычный (веб)"/>
    <w:basedOn w:val="818"/>
    <w:next w:val="879"/>
    <w:link w:val="818"/>
    <w:uiPriority w:val="99"/>
    <w:unhideWhenUsed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4"/>
      <w:lang w:eastAsia="ru-RU" w:bidi="ar-SA"/>
    </w:rPr>
  </w:style>
  <w:style w:type="paragraph" w:styleId="880">
    <w:name w:val="Текст выноски"/>
    <w:basedOn w:val="818"/>
    <w:next w:val="880"/>
    <w:link w:val="881"/>
    <w:rPr>
      <w:rFonts w:ascii="Tahoma" w:hAnsi="Tahoma"/>
      <w:sz w:val="16"/>
      <w:szCs w:val="14"/>
    </w:rPr>
  </w:style>
  <w:style w:type="character" w:styleId="881">
    <w:name w:val="Текст выноски Знак"/>
    <w:next w:val="881"/>
    <w:link w:val="880"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882">
    <w:name w:val="Красная строка"/>
    <w:basedOn w:val="860"/>
    <w:next w:val="882"/>
    <w:link w:val="884"/>
    <w:pPr>
      <w:ind w:firstLine="210"/>
    </w:pPr>
  </w:style>
  <w:style w:type="character" w:styleId="883">
    <w:name w:val="Основной текст Знак"/>
    <w:next w:val="883"/>
    <w:link w:val="860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84">
    <w:name w:val="Красная строка Знак"/>
    <w:basedOn w:val="883"/>
    <w:next w:val="884"/>
    <w:link w:val="882"/>
  </w:style>
  <w:style w:type="character" w:styleId="885">
    <w:name w:val="Знак примечания"/>
    <w:next w:val="885"/>
    <w:link w:val="818"/>
    <w:rPr>
      <w:sz w:val="16"/>
      <w:szCs w:val="16"/>
    </w:rPr>
  </w:style>
  <w:style w:type="paragraph" w:styleId="886">
    <w:name w:val="Текст примечания"/>
    <w:basedOn w:val="818"/>
    <w:next w:val="886"/>
    <w:link w:val="887"/>
    <w:rPr>
      <w:sz w:val="20"/>
      <w:szCs w:val="18"/>
    </w:rPr>
  </w:style>
  <w:style w:type="character" w:styleId="887">
    <w:name w:val="Текст примечания Знак"/>
    <w:next w:val="887"/>
    <w:link w:val="886"/>
    <w:rPr>
      <w:rFonts w:ascii="Arial" w:hAnsi="Arial" w:eastAsia="Lucida Sans Unicode" w:cs="Mangal"/>
      <w:szCs w:val="18"/>
      <w:lang w:eastAsia="zh-CN" w:bidi="hi-IN"/>
    </w:rPr>
  </w:style>
  <w:style w:type="paragraph" w:styleId="888">
    <w:name w:val="Тема примечания"/>
    <w:basedOn w:val="886"/>
    <w:next w:val="886"/>
    <w:link w:val="889"/>
    <w:rPr>
      <w:b/>
      <w:bCs/>
    </w:rPr>
  </w:style>
  <w:style w:type="character" w:styleId="889">
    <w:name w:val="Тема примечания Знак"/>
    <w:next w:val="889"/>
    <w:link w:val="888"/>
    <w:rPr>
      <w:rFonts w:ascii="Arial" w:hAnsi="Arial" w:eastAsia="Lucida Sans Unicode" w:cs="Mangal"/>
      <w:b/>
      <w:bCs/>
      <w:szCs w:val="18"/>
      <w:lang w:eastAsia="zh-CN" w:bidi="hi-IN"/>
    </w:rPr>
  </w:style>
  <w:style w:type="paragraph" w:styleId="890">
    <w:name w:val="Default"/>
    <w:next w:val="890"/>
    <w:link w:val="818"/>
    <w:rPr>
      <w:rFonts w:ascii="PT Astra Serif" w:hAnsi="PT Astra Serif" w:cs="PT Astra Serif"/>
      <w:color w:val="000000"/>
      <w:sz w:val="24"/>
      <w:szCs w:val="24"/>
      <w:lang w:val="ru-RU" w:eastAsia="ru-RU" w:bidi="ar-SA"/>
    </w:rPr>
  </w:style>
  <w:style w:type="character" w:styleId="891" w:default="1">
    <w:name w:val="Default Paragraph Font"/>
    <w:uiPriority w:val="1"/>
    <w:semiHidden/>
    <w:unhideWhenUsed/>
  </w:style>
  <w:style w:type="numbering" w:styleId="892" w:default="1">
    <w:name w:val="No List"/>
    <w:uiPriority w:val="99"/>
    <w:semiHidden/>
    <w:unhideWhenUsed/>
  </w:style>
  <w:style w:type="table" w:styleId="89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consultantplus://offline/ref=28D50D93F9D7F27D7A95C5483BB83C397078694FE2DF43299461A410A414B95E98858CAAE7E2A316E29E1D2EE90F6C0AFE759CF37068A31677F182B2G7Q3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18</cp:revision>
  <dcterms:created xsi:type="dcterms:W3CDTF">2023-12-15T10:38:00Z</dcterms:created>
  <dcterms:modified xsi:type="dcterms:W3CDTF">2026-06-29T07:15:48Z</dcterms:modified>
  <cp:version>983040</cp:version>
</cp:coreProperties>
</file>