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9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20.11.2025</w:t>
            </w:r>
            <w:r/>
          </w:p>
        </w:tc>
        <w:tc>
          <w:tcPr>
            <w:gridSpan w:val="2"/>
            <w:tcW w:w="529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vAlign w:val="top"/>
            <w:textDirection w:val="lrTb"/>
            <w:noWrap w:val="false"/>
          </w:tcPr>
          <w:p>
            <w:pPr>
              <w:pStyle w:val="619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18-р</w:t>
            </w:r>
            <w:r/>
          </w:p>
        </w:tc>
        <w:tc>
          <w:tcPr>
            <w:tcW w:w="165" w:type="dxa"/>
            <w:vAlign w:val="top"/>
            <w:textDirection w:val="lrTb"/>
            <w:noWrap w:val="false"/>
          </w:tcPr>
          <w:p>
            <w:pPr>
              <w:pStyle w:val="645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vAlign w:val="top"/>
            <w:textDirection w:val="lrTb"/>
            <w:noWrap w:val="false"/>
          </w:tcPr>
          <w:p>
            <w:pPr>
              <w:pStyle w:val="645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45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трихинеллезу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Том</w:t>
            </w:r>
            <w:r>
              <w:rPr>
                <w:rFonts w:ascii="PT Astra Serif" w:hAnsi="PT Astra Serif"/>
                <w:szCs w:val="28"/>
              </w:rPr>
              <w:t xml:space="preserve">с</w:t>
            </w:r>
            <w:r>
              <w:rPr>
                <w:rFonts w:ascii="PT Astra Serif" w:hAnsi="PT Astra Serif"/>
                <w:szCs w:val="28"/>
              </w:rPr>
              <w:t xml:space="preserve">кого</w:t>
            </w:r>
            <w:r>
              <w:rPr>
                <w:rFonts w:ascii="PT Astra Serif" w:hAnsi="PT Astra Serif"/>
                <w:szCs w:val="28"/>
              </w:rPr>
              <w:t xml:space="preserve"> района Томской области</w:t>
            </w:r>
            <w:r>
              <w:rPr>
                <w:rFonts w:ascii="PT Astra Serif" w:hAnsi="PT Astra Serif"/>
                <w:szCs w:val="28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vAlign w:val="top"/>
            <w:textDirection w:val="lrTb"/>
            <w:noWrap w:val="false"/>
          </w:tcPr>
          <w:p>
            <w:pPr>
              <w:pStyle w:val="645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  <w:br w:type="textWrapping" w:clear="all"/>
        <w:t xml:space="preserve">от 14 мая 1993 года № 4979-1 «О ветеринарии», </w:t>
      </w:r>
      <w:r>
        <w:rPr>
          <w:rFonts w:ascii="PT Astra Serif" w:hAnsi="PT Astra Serif"/>
          <w:szCs w:val="26"/>
        </w:rPr>
        <w:t xml:space="preserve">п</w:t>
      </w:r>
      <w:r>
        <w:rPr>
          <w:rFonts w:ascii="PT Astra Serif" w:hAnsi="PT Astra Serif"/>
          <w:szCs w:val="26"/>
        </w:rPr>
        <w:t xml:space="preserve">риказом </w:t>
      </w:r>
      <w:r>
        <w:rPr>
          <w:rFonts w:ascii="PT Astra Serif" w:hAnsi="PT Astra Serif"/>
          <w:szCs w:val="26"/>
        </w:rPr>
        <w:t xml:space="preserve">Министерства сельского хозяйства Российской Федерации </w:t>
      </w:r>
      <w:r>
        <w:rPr>
          <w:rFonts w:ascii="PT Astra Serif" w:hAnsi="PT Astra Serif"/>
          <w:szCs w:val="26"/>
        </w:rPr>
        <w:t xml:space="preserve">от 19.12.2011 № 476 «Об утверждении перечня заразных, в том числе особо опасных, болезней животных, по которым могут устанавливаться ограничител</w:t>
      </w:r>
      <w:r>
        <w:rPr>
          <w:rFonts w:ascii="PT Astra Serif" w:hAnsi="PT Astra Serif"/>
          <w:szCs w:val="26"/>
        </w:rPr>
        <w:t xml:space="preserve">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</w:t>
      </w:r>
      <w:r>
        <w:rPr>
          <w:rFonts w:ascii="PT Astra Serif" w:hAnsi="PT Astra Serif"/>
          <w:szCs w:val="26"/>
        </w:rPr>
        <w:t xml:space="preserve">в трихинеллеза, утвержденными п</w:t>
      </w:r>
      <w:r>
        <w:rPr>
          <w:rFonts w:ascii="PT Astra Serif" w:hAnsi="PT Astra Serif"/>
          <w:szCs w:val="26"/>
        </w:rPr>
        <w:t xml:space="preserve">риказом Министерства сельского хозяйства Российской Федерации от </w:t>
      </w:r>
      <w:r>
        <w:rPr>
          <w:rFonts w:ascii="PT Astra Serif" w:hAnsi="PT Astra Serif"/>
          <w:szCs w:val="26"/>
        </w:rPr>
        <w:t xml:space="preserve">26.03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0</w:t>
      </w:r>
      <w:r>
        <w:rPr>
          <w:rFonts w:ascii="PT Astra Serif" w:hAnsi="PT Astra Serif"/>
          <w:szCs w:val="26"/>
        </w:rPr>
        <w:t xml:space="preserve"> № </w:t>
      </w:r>
      <w:r>
        <w:rPr>
          <w:rFonts w:ascii="PT Astra Serif" w:hAnsi="PT Astra Serif"/>
          <w:szCs w:val="26"/>
        </w:rPr>
        <w:t xml:space="preserve">154 (далее – ветеринарные правила)</w:t>
      </w:r>
      <w:r>
        <w:rPr>
          <w:rFonts w:ascii="PT Astra Serif" w:hAnsi="PT Astra Serif"/>
          <w:szCs w:val="26"/>
        </w:rPr>
        <w:t xml:space="preserve">, Законом Томской области от 12</w:t>
      </w:r>
      <w:r>
        <w:rPr>
          <w:rFonts w:ascii="PT Astra Serif" w:hAnsi="PT Astra Serif"/>
          <w:szCs w:val="26"/>
        </w:rPr>
        <w:t xml:space="preserve"> октября 2005 года № 182-ОЗ «Об </w:t>
      </w:r>
      <w:r>
        <w:rPr>
          <w:rFonts w:ascii="PT Astra Serif" w:hAnsi="PT Astra Serif"/>
          <w:szCs w:val="26"/>
        </w:rPr>
        <w:t xml:space="preserve">обеспечении эпизоотического и ветеринарно-санитарного </w:t>
      </w:r>
      <w:r>
        <w:rPr>
          <w:rFonts w:ascii="PT Astra Serif" w:hAnsi="PT Astra Serif"/>
          <w:szCs w:val="26"/>
        </w:rPr>
        <w:t xml:space="preserve">благополучия </w:t>
      </w:r>
      <w:r>
        <w:rPr>
          <w:rFonts w:ascii="PT Astra Serif" w:hAnsi="PT Astra Serif"/>
          <w:szCs w:val="26"/>
        </w:rPr>
        <w:t xml:space="preserve">в Томской области»</w:t>
      </w:r>
      <w:r>
        <w:rPr>
          <w:rFonts w:ascii="PT Astra Serif" w:hAnsi="PT Astra Serif"/>
          <w:szCs w:val="26"/>
        </w:rPr>
        <w:t xml:space="preserve">, на основании представления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и. о. </w:t>
      </w:r>
      <w:r>
        <w:rPr>
          <w:rFonts w:ascii="PT Astra Serif" w:hAnsi="PT Astra Serif"/>
          <w:szCs w:val="26"/>
        </w:rPr>
        <w:t xml:space="preserve">начальника </w:t>
      </w:r>
      <w:r>
        <w:rPr>
          <w:rFonts w:ascii="PT Astra Serif" w:hAnsi="PT Astra Serif"/>
          <w:szCs w:val="28"/>
        </w:rPr>
        <w:t xml:space="preserve">ОГ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У «</w:t>
      </w:r>
      <w:r>
        <w:rPr>
          <w:rFonts w:ascii="PT Astra Serif" w:hAnsi="PT Astra Serif"/>
          <w:szCs w:val="28"/>
        </w:rPr>
        <w:t xml:space="preserve">Томское </w:t>
      </w:r>
      <w:r>
        <w:rPr>
          <w:rFonts w:ascii="PT Astra Serif" w:hAnsi="PT Astra Serif"/>
          <w:szCs w:val="28"/>
        </w:rPr>
        <w:t xml:space="preserve">р</w:t>
      </w:r>
      <w:r>
        <w:rPr>
          <w:rFonts w:ascii="PT Astra Serif" w:hAnsi="PT Astra Serif"/>
          <w:szCs w:val="28"/>
        </w:rPr>
        <w:t xml:space="preserve">айонное вет</w:t>
      </w:r>
      <w:r>
        <w:rPr>
          <w:rFonts w:ascii="PT Astra Serif" w:hAnsi="PT Astra Serif"/>
          <w:szCs w:val="28"/>
        </w:rPr>
        <w:t xml:space="preserve">еринарное </w:t>
      </w:r>
      <w:r>
        <w:rPr>
          <w:rFonts w:ascii="PT Astra Serif" w:hAnsi="PT Astra Serif"/>
          <w:szCs w:val="28"/>
        </w:rPr>
        <w:t xml:space="preserve">управление» от </w:t>
      </w:r>
      <w:r>
        <w:rPr>
          <w:rFonts w:ascii="PT Astra Serif" w:hAnsi="PT Astra Serif"/>
          <w:szCs w:val="28"/>
        </w:rPr>
        <w:t xml:space="preserve">20.11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№ </w:t>
      </w:r>
      <w:r>
        <w:rPr>
          <w:rFonts w:ascii="PT Astra Serif" w:hAnsi="PT Astra Serif"/>
          <w:szCs w:val="28"/>
        </w:rPr>
        <w:t xml:space="preserve">280</w:t>
      </w:r>
      <w:r>
        <w:rPr>
          <w:rFonts w:ascii="PT Astra Serif" w:hAnsi="PT Astra Serif"/>
          <w:szCs w:val="26"/>
        </w:rPr>
        <w:t xml:space="preserve">: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</w:t>
      </w:r>
      <w:r>
        <w:rPr>
          <w:rFonts w:ascii="PT Astra Serif" w:hAnsi="PT Astra Serif"/>
          <w:szCs w:val="26"/>
        </w:rPr>
        <w:t xml:space="preserve">сроком до </w:t>
      </w:r>
      <w:r>
        <w:rPr>
          <w:rFonts w:ascii="PT Astra Serif" w:hAnsi="PT Astra Serif"/>
          <w:szCs w:val="26"/>
        </w:rPr>
        <w:t xml:space="preserve">20.11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6</w:t>
      </w:r>
      <w:r>
        <w:rPr>
          <w:rFonts w:ascii="PT Astra Serif" w:hAnsi="PT Astra Serif"/>
          <w:szCs w:val="26"/>
        </w:rPr>
        <w:t xml:space="preserve"> года </w:t>
      </w:r>
      <w:r>
        <w:rPr>
          <w:rFonts w:ascii="PT Astra Serif" w:hAnsi="PT Astra Serif"/>
          <w:szCs w:val="26"/>
        </w:rPr>
        <w:t xml:space="preserve">ограничительные</w:t>
      </w:r>
      <w:r>
        <w:rPr>
          <w:rFonts w:ascii="PT Astra Serif" w:hAnsi="PT Astra Serif"/>
          <w:szCs w:val="26"/>
        </w:rPr>
        <w:t xml:space="preserve"> мероприятия (карантин) по </w:t>
      </w:r>
      <w:r>
        <w:rPr>
          <w:rFonts w:ascii="PT Astra Serif" w:hAnsi="PT Astra Serif"/>
          <w:szCs w:val="26"/>
        </w:rPr>
        <w:t xml:space="preserve">трихинеллезу.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 </w:t>
      </w:r>
      <w:r>
        <w:rPr>
          <w:rFonts w:ascii="PT Astra Serif" w:hAnsi="PT Astra Serif"/>
          <w:szCs w:val="26"/>
        </w:rPr>
        <w:t xml:space="preserve">У</w:t>
      </w:r>
      <w:r>
        <w:rPr>
          <w:rFonts w:ascii="PT Astra Serif" w:hAnsi="PT Astra Serif"/>
          <w:szCs w:val="26"/>
        </w:rPr>
        <w:t xml:space="preserve">становить границы:</w:t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очага</w:t>
      </w:r>
      <w:r>
        <w:rPr>
          <w:rFonts w:ascii="PT Astra Serif" w:hAnsi="PT Astra Serif"/>
          <w:szCs w:val="26"/>
        </w:rPr>
        <w:t xml:space="preserve">: </w:t>
      </w:r>
      <w:r>
        <w:rPr>
          <w:rFonts w:ascii="PT Astra Serif" w:hAnsi="PT Astra Serif"/>
          <w:szCs w:val="26"/>
        </w:rPr>
        <w:t xml:space="preserve">участок </w:t>
      </w:r>
      <w:r>
        <w:rPr>
          <w:rFonts w:ascii="PT Astra Serif" w:hAnsi="PT Astra Serif"/>
          <w:szCs w:val="26"/>
        </w:rPr>
        <w:t xml:space="preserve">с координатами </w:t>
      </w:r>
      <w:r>
        <w:rPr>
          <w:rFonts w:ascii="PT Astra Serif" w:hAnsi="PT Astra Serif"/>
          <w:szCs w:val="26"/>
        </w:rPr>
        <w:t xml:space="preserve">57°0</w:t>
      </w:r>
      <w:r>
        <w:rPr>
          <w:rFonts w:ascii="PT Astra Serif" w:hAnsi="PT Astra Serif"/>
          <w:szCs w:val="26"/>
        </w:rPr>
        <w:t xml:space="preserve">1</w:t>
      </w:r>
      <w:r>
        <w:rPr>
          <w:rFonts w:ascii="PT Astra Serif" w:hAnsi="PT Astra Serif"/>
          <w:szCs w:val="26"/>
        </w:rPr>
        <w:t xml:space="preserve">806</w:t>
      </w:r>
      <w:r>
        <w:rPr>
          <w:rFonts w:ascii="PT Astra Serif" w:hAnsi="PT Astra Serif"/>
          <w:szCs w:val="26"/>
        </w:rPr>
        <w:t xml:space="preserve"> с.ш., 8</w:t>
      </w:r>
      <w:r>
        <w:rPr>
          <w:rFonts w:ascii="PT Astra Serif" w:hAnsi="PT Astra Serif"/>
          <w:szCs w:val="26"/>
        </w:rPr>
        <w:t xml:space="preserve">4</w:t>
      </w:r>
      <w:r>
        <w:rPr>
          <w:rFonts w:ascii="PT Astra Serif" w:hAnsi="PT Astra Serif"/>
          <w:szCs w:val="26"/>
        </w:rPr>
        <w:t xml:space="preserve">°2</w:t>
      </w:r>
      <w:r>
        <w:rPr>
          <w:rFonts w:ascii="PT Astra Serif" w:hAnsi="PT Astra Serif"/>
          <w:szCs w:val="26"/>
        </w:rPr>
        <w:t xml:space="preserve">4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305</w:t>
      </w:r>
      <w:r>
        <w:rPr>
          <w:rFonts w:ascii="PT Astra Serif" w:hAnsi="PT Astra Serif"/>
          <w:szCs w:val="26"/>
        </w:rPr>
        <w:t xml:space="preserve"> в.д.,</w:t>
      </w:r>
      <w:r>
        <w:rPr>
          <w:rFonts w:ascii="PT Astra Serif" w:hAnsi="PT Astra Serif"/>
          <w:szCs w:val="26"/>
        </w:rPr>
        <w:t xml:space="preserve"> расположенн</w:t>
      </w:r>
      <w:r>
        <w:rPr>
          <w:rFonts w:ascii="PT Astra Serif" w:hAnsi="PT Astra Serif"/>
          <w:szCs w:val="26"/>
        </w:rPr>
        <w:t xml:space="preserve">ый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на территории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Чингарского охотничьего хозяйства Томского района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Томской области</w:t>
      </w:r>
      <w:r>
        <w:rPr>
          <w:rFonts w:ascii="PT Astra Serif" w:hAnsi="PT Astra Serif"/>
          <w:szCs w:val="26"/>
        </w:rPr>
        <w:t xml:space="preserve">;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</w:t>
      </w:r>
      <w:r>
        <w:rPr>
          <w:rFonts w:ascii="PT Astra Serif" w:hAnsi="PT Astra Serif"/>
          <w:szCs w:val="26"/>
        </w:rPr>
        <w:t xml:space="preserve">территорию</w:t>
      </w:r>
      <w:r>
        <w:rPr>
          <w:rFonts w:ascii="PT Astra Serif" w:hAnsi="PT Astra Serif"/>
          <w:szCs w:val="26"/>
        </w:rPr>
        <w:t xml:space="preserve">, радиусом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</w:rPr>
        <w:t xml:space="preserve"> км от</w:t>
      </w:r>
      <w:r>
        <w:rPr>
          <w:rFonts w:ascii="PT Astra Serif" w:hAnsi="PT Astra Serif"/>
          <w:szCs w:val="26"/>
        </w:rPr>
        <w:t xml:space="preserve"> эпизоотического очага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</w:r>
      <w:r/>
    </w:p>
    <w:p>
      <w:pPr>
        <w:pStyle w:val="619"/>
        <w:ind w:firstLine="709"/>
        <w:rPr>
          <w:rFonts w:ascii="PT Astra Serif" w:hAnsi="PT Astra Serif"/>
          <w:szCs w:val="26"/>
        </w:rPr>
      </w:pPr>
      <w:r>
        <w:rPr>
          <w:rStyle w:val="625"/>
          <w:rFonts w:ascii="PT Astra Serif" w:hAnsi="PT Astra Serif"/>
          <w:szCs w:val="28"/>
        </w:rPr>
        <w:t xml:space="preserve">3</w:t>
      </w:r>
      <w:r>
        <w:rPr>
          <w:rStyle w:val="625"/>
          <w:rFonts w:ascii="PT Astra Serif" w:hAnsi="PT Astra Serif"/>
          <w:szCs w:val="28"/>
        </w:rPr>
        <w:t xml:space="preserve">. В</w:t>
      </w:r>
      <w:r>
        <w:rPr>
          <w:rFonts w:ascii="PT Astra Serif" w:hAnsi="PT Astra Serif"/>
          <w:szCs w:val="26"/>
        </w:rPr>
        <w:t xml:space="preserve"> эпизоотическом очаге на период действия ограничительных</w:t>
      </w:r>
      <w:r>
        <w:rPr>
          <w:rFonts w:ascii="PT Astra Serif" w:hAnsi="PT Astra Serif"/>
          <w:szCs w:val="26"/>
        </w:rPr>
        <w:t xml:space="preserve"> мероприятий (карантина) по </w:t>
      </w:r>
      <w:r>
        <w:rPr>
          <w:rFonts w:ascii="PT Astra Serif" w:hAnsi="PT Astra Serif"/>
          <w:szCs w:val="26"/>
        </w:rPr>
        <w:t xml:space="preserve">трихинеллезу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Fonts w:ascii="PT Astra Serif" w:hAnsi="PT Astra Serif"/>
          <w:szCs w:val="26"/>
        </w:rPr>
        <w:t xml:space="preserve">запре</w:t>
      </w:r>
      <w:r>
        <w:rPr>
          <w:rFonts w:ascii="PT Astra Serif" w:hAnsi="PT Astra Serif"/>
          <w:szCs w:val="26"/>
        </w:rPr>
        <w:t xml:space="preserve">тить</w:t>
      </w:r>
      <w:r>
        <w:rPr>
          <w:rStyle w:val="625"/>
          <w:rFonts w:ascii="PT Astra Serif" w:hAnsi="PT Astra Serif"/>
          <w:szCs w:val="28"/>
        </w:rPr>
        <w:t xml:space="preserve"> охоту</w:t>
      </w:r>
      <w:r>
        <w:rPr>
          <w:rStyle w:val="625"/>
          <w:rFonts w:ascii="PT Astra Serif" w:hAnsi="PT Astra Serif"/>
          <w:szCs w:val="28"/>
        </w:rPr>
        <w:t xml:space="preserve"> на восприимчивых животных, отнесенных к охотничьим ресурсам, за исключением охоты в целях регулирования численности охотничьих ресурсов;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б) </w:t>
      </w:r>
      <w:r>
        <w:rPr>
          <w:rFonts w:ascii="PT Astra Serif" w:hAnsi="PT Astra Serif"/>
          <w:szCs w:val="26"/>
        </w:rPr>
        <w:t xml:space="preserve">запре</w:t>
      </w:r>
      <w:r>
        <w:rPr>
          <w:rFonts w:ascii="PT Astra Serif" w:hAnsi="PT Astra Serif"/>
          <w:szCs w:val="26"/>
        </w:rPr>
        <w:t xml:space="preserve">тить</w:t>
      </w:r>
      <w:r>
        <w:rPr>
          <w:rStyle w:val="625"/>
          <w:rFonts w:ascii="PT Astra Serif" w:hAnsi="PT Astra Serif"/>
          <w:szCs w:val="28"/>
        </w:rPr>
        <w:t xml:space="preserve"> вывоз туш диких животных за пределы охотничьего угодья, за исключением их вывоза для проведения ветеринарно-санитарной экспертизы туш и органов в государственные ветеринарные учреждения;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в) обеспечить отсутствие восприимчивых животных, отнесенных к охотничьим ресурсам, путем регулирования численности;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г) продукты убоя, полученные от восприимчивых животных, в исследуемых пробах от которых были выявлены личинки возбудителя, а также трупы</w:t>
      </w:r>
      <w:r>
        <w:rPr>
          <w:rStyle w:val="625"/>
          <w:rFonts w:ascii="PT Astra Serif" w:hAnsi="PT Astra Serif"/>
          <w:szCs w:val="28"/>
        </w:rPr>
        <w:t xml:space="preserve"> восприимчивых животных подвергну</w:t>
      </w:r>
      <w:r>
        <w:rPr>
          <w:rStyle w:val="625"/>
          <w:rFonts w:ascii="PT Astra Serif" w:hAnsi="PT Astra Serif"/>
          <w:szCs w:val="28"/>
        </w:rPr>
        <w:t xml:space="preserve">ть уничтожению в соответствии </w:t>
      </w:r>
      <w:r>
        <w:rPr>
          <w:rStyle w:val="625"/>
          <w:rFonts w:ascii="PT Astra Serif" w:hAnsi="PT Astra Serif"/>
          <w:szCs w:val="28"/>
        </w:rPr>
        <w:t xml:space="preserve">с </w:t>
      </w:r>
      <w:r>
        <w:rPr>
          <w:rFonts w:ascii="PT Astra Serif" w:hAnsi="PT Astra Serif"/>
          <w:szCs w:val="28"/>
        </w:rPr>
        <w:t xml:space="preserve">Ветеринарными правилами утилизации биологических отходов</w:t>
      </w:r>
      <w:r>
        <w:rPr>
          <w:rStyle w:val="625"/>
          <w:rFonts w:ascii="PT Astra Serif" w:hAnsi="PT Astra Serif"/>
          <w:szCs w:val="28"/>
        </w:rPr>
        <w:t xml:space="preserve">;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д) провести дезинфекцию места отбора проб материала.</w:t>
      </w:r>
      <w:r/>
    </w:p>
    <w:p>
      <w:pPr>
        <w:pStyle w:val="654"/>
        <w:ind w:firstLine="709"/>
      </w:pPr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</w:t>
      </w:r>
      <w:r>
        <w:rPr>
          <w:rFonts w:ascii="PT Astra Serif" w:hAnsi="PT Astra Serif"/>
          <w:szCs w:val="26"/>
        </w:rPr>
        <w:t xml:space="preserve"> неблагополучном пункте </w:t>
      </w:r>
      <w:r>
        <w:rPr>
          <w:rFonts w:ascii="PT Astra Serif" w:hAnsi="PT Astra Serif"/>
          <w:szCs w:val="26"/>
        </w:rPr>
        <w:t xml:space="preserve">на период действия ограничительных мероприятий (карантина) по</w:t>
      </w:r>
      <w:r>
        <w:rPr>
          <w:rFonts w:ascii="PT Astra Serif" w:hAnsi="PT Astra Serif"/>
          <w:szCs w:val="26"/>
        </w:rPr>
        <w:t xml:space="preserve"> трихинеллезу</w:t>
      </w:r>
      <w:r>
        <w:rPr>
          <w:szCs w:val="28"/>
        </w:rPr>
        <w:t xml:space="preserve">:</w:t>
      </w:r>
      <w:r/>
    </w:p>
    <w:p>
      <w:pPr>
        <w:pStyle w:val="619"/>
        <w:ind w:firstLine="70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 xml:space="preserve">а) </w:t>
      </w:r>
      <w:r>
        <w:rPr>
          <w:rStyle w:val="625"/>
          <w:rFonts w:ascii="PT Astra Serif" w:hAnsi="PT Astra Serif"/>
          <w:szCs w:val="28"/>
        </w:rPr>
        <w:t xml:space="preserve">запретить </w:t>
      </w:r>
      <w:r>
        <w:rPr>
          <w:rStyle w:val="625"/>
          <w:rFonts w:ascii="PT Astra Serif" w:hAnsi="PT Astra Serif"/>
        </w:rPr>
        <w:t xml:space="preserve">вывоз восприимчивых животных за пределы неблагополучного пункта</w:t>
      </w:r>
      <w:r>
        <w:rPr>
          <w:rStyle w:val="625"/>
          <w:rFonts w:ascii="PT Astra Serif" w:hAnsi="PT Astra Serif"/>
          <w:szCs w:val="28"/>
        </w:rPr>
        <w:t xml:space="preserve">.</w:t>
      </w:r>
      <w:r/>
    </w:p>
    <w:p>
      <w:pPr>
        <w:pStyle w:val="619"/>
        <w:rPr>
          <w:rStyle w:val="625"/>
          <w:rFonts w:ascii="PT Astra Serif" w:hAnsi="PT Astra Serif"/>
          <w:szCs w:val="28"/>
        </w:rPr>
      </w:pPr>
      <w:r>
        <w:rPr>
          <w:rStyle w:val="625"/>
          <w:rFonts w:ascii="PT Astra Serif" w:hAnsi="PT Astra Serif"/>
          <w:szCs w:val="28"/>
        </w:rPr>
        <w:tab/>
      </w:r>
      <w:r>
        <w:rPr>
          <w:rStyle w:val="625"/>
          <w:rFonts w:ascii="PT Astra Serif" w:hAnsi="PT Astra Serif"/>
          <w:szCs w:val="28"/>
        </w:rPr>
        <w:t xml:space="preserve">5.</w:t>
      </w:r>
      <w:r>
        <w:rPr>
          <w:rStyle w:val="625"/>
          <w:rFonts w:ascii="PT Astra Serif" w:hAnsi="PT Astra Serif"/>
          <w:szCs w:val="28"/>
        </w:rPr>
        <w:t xml:space="preserve"> </w:t>
      </w:r>
      <w:r>
        <w:rPr>
          <w:rStyle w:val="625"/>
          <w:rFonts w:ascii="PT Astra Serif" w:hAnsi="PT Astra Serif"/>
          <w:szCs w:val="28"/>
        </w:rPr>
        <w:t xml:space="preserve">У</w:t>
      </w:r>
      <w:r>
        <w:rPr>
          <w:szCs w:val="28"/>
        </w:rPr>
        <w:t xml:space="preserve">твердить план мероприятий </w:t>
      </w:r>
      <w:r>
        <w:rPr>
          <w:rStyle w:val="625"/>
          <w:rFonts w:ascii="PT Astra Serif" w:hAnsi="PT Astra Serif"/>
          <w:szCs w:val="28"/>
        </w:rPr>
        <w:t xml:space="preserve">по </w:t>
      </w:r>
      <w:r>
        <w:rPr>
          <w:rStyle w:val="625"/>
          <w:rFonts w:ascii="PT Astra Serif" w:hAnsi="PT Astra Serif"/>
          <w:szCs w:val="28"/>
        </w:rPr>
        <w:t xml:space="preserve">ликвидации эпизоотического очага трихинеллеза и предотвращения распространения возбудителя</w:t>
      </w:r>
      <w:r>
        <w:rPr>
          <w:rStyle w:val="625"/>
          <w:rFonts w:ascii="PT Astra Serif" w:hAnsi="PT Astra Serif"/>
          <w:szCs w:val="28"/>
        </w:rPr>
        <w:t xml:space="preserve"> (далее - План)</w:t>
      </w:r>
      <w:r>
        <w:rPr>
          <w:rStyle w:val="625"/>
          <w:rFonts w:ascii="PT Astra Serif" w:hAnsi="PT Astra Serif"/>
          <w:szCs w:val="28"/>
        </w:rPr>
        <w:t xml:space="preserve">, </w:t>
      </w:r>
      <w:r>
        <w:rPr>
          <w:rFonts w:cs="Times New Roman"/>
          <w:szCs w:val="28"/>
        </w:rPr>
        <w:t xml:space="preserve">согласно приложению к настоящему распоряжению. </w:t>
      </w:r>
      <w:r>
        <w:rPr>
          <w:rStyle w:val="625"/>
          <w:rFonts w:ascii="PT Astra Serif" w:hAnsi="PT Astra Serif"/>
          <w:szCs w:val="28"/>
        </w:rPr>
      </w:r>
      <w:r/>
    </w:p>
    <w:p>
      <w:pPr>
        <w:pStyle w:val="619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6.</w:t>
      </w: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  <w:szCs w:val="28"/>
        </w:rPr>
        <w:t xml:space="preserve">Контроль за исполнением настоящего распоряжения </w:t>
      </w:r>
      <w:r>
        <w:rPr>
          <w:rFonts w:ascii="PT Astra Serif" w:hAnsi="PT Astra Serif"/>
          <w:szCs w:val="28"/>
        </w:rPr>
        <w:t xml:space="preserve">оставляю за собой.</w:t>
      </w:r>
      <w:r>
        <w:rPr>
          <w:rFonts w:ascii="PT Astra Serif" w:hAnsi="PT Astra Serif"/>
        </w:rPr>
      </w:r>
      <w:r/>
    </w:p>
    <w:p>
      <w:pPr>
        <w:pStyle w:val="619"/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42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7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 xml:space="preserve">И.о. 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</w:t>
      </w:r>
      <w:r>
        <w:rPr>
          <w:rFonts w:ascii="PT Astra Serif" w:hAnsi="PT Astra Serif"/>
          <w:szCs w:val="28"/>
        </w:rPr>
        <w:t xml:space="preserve">                    </w:t>
      </w:r>
      <w:r>
        <w:rPr>
          <w:rFonts w:ascii="PT Astra Serif" w:hAnsi="PT Astra Serif"/>
          <w:szCs w:val="28"/>
        </w:rPr>
        <w:t xml:space="preserve"> 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Егоров</w:t>
      </w:r>
      <w:r>
        <w:rPr>
          <w:rFonts w:ascii="PT Astra Serif" w:hAnsi="PT Astra Serif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42"/>
        <w:rPr>
          <w:rFonts w:ascii="PT Astra Serif" w:hAnsi="PT Astra Serif"/>
          <w:sz w:val="28"/>
          <w:szCs w:val="28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W w:w="15331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5109"/>
        <w:gridCol w:w="222"/>
      </w:tblGrid>
      <w:tr>
        <w:trPr>
          <w:trHeight w:val="28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109" w:type="dxa"/>
            <w:vAlign w:val="top"/>
            <w:textDirection w:val="lrTb"/>
            <w:noWrap w:val="false"/>
          </w:tcPr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 к распоряжению 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ветеринарии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20.11.20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года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№ 18-р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2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</w:tr>
    </w:tbl>
    <w:p>
      <w:pPr>
        <w:pStyle w:val="1_792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792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792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П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ЛАН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792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мероприятий по ликвидации эпизоотического очага трихинеллеза и предотвращения распространения возбудителя на отдельной территории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Том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ского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района Томской области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792"/>
        <w:jc w:val="center"/>
        <w:spacing w:before="0" w:beforeAutospacing="0" w:after="0"/>
        <w:rPr>
          <w:rFonts w:ascii="PT Astra Serif" w:hAnsi="PT Astra Serif" w:cs="Arial"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b/>
          <w:bCs/>
          <w:color w:val="000000"/>
        </w:rPr>
      </w:r>
      <w:r/>
    </w:p>
    <w:tbl>
      <w:tblPr>
        <w:tblW w:w="1470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36"/>
        <w:gridCol w:w="6119"/>
        <w:gridCol w:w="2755"/>
        <w:gridCol w:w="5199"/>
      </w:tblGrid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п/п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исполнения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 исполнители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56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Общие </w:t>
            </w:r>
            <w:r>
              <w:rPr>
                <w:rFonts w:ascii="PT Astra Serif" w:hAnsi="PT Astra Serif"/>
                <w:b/>
              </w:rPr>
              <w:t xml:space="preserve">организационно-хозяйственные мероприятия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Информирование населения и главы муниципального образования о возникновении эпизоотического очага</w:t>
            </w:r>
            <w:r>
              <w:rPr>
                <w:rFonts w:ascii="PT Astra Serif" w:hAnsi="PT Astra Serif"/>
              </w:rPr>
              <w:t xml:space="preserve"> трихинеллеза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Томское 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90"/>
        </w:trPr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ind w:firstLine="709"/>
              <w:jc w:val="center"/>
              <w:spacing w:after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эпизоотическом очаге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51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  <w:tc>
          <w:tcPr>
            <w:gridSpan w:val="3"/>
            <w:tcW w:w="14073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Запретить: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1929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Style w:val="625"/>
                <w:rFonts w:ascii="PT Astra Serif" w:hAnsi="PT Astra Serif"/>
              </w:rPr>
              <w:t xml:space="preserve">- охоту на восприимчивых животных, отнесенных к охотничьим ресурсам, за исключением охоты в целях регулирования численности охотничьих ресурсов;</w:t>
            </w:r>
            <w:r>
              <w:rPr>
                <w:rStyle w:val="625"/>
                <w:rFonts w:ascii="PT Astra Serif" w:hAnsi="PT Astra Serif"/>
              </w:rPr>
            </w:r>
            <w:r>
              <w:rPr>
                <w:rStyle w:val="625"/>
              </w:rPr>
            </w:r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 запретить вывоз туш диких животных за пределы </w:t>
            </w:r>
            <w:r>
              <w:rPr>
                <w:rStyle w:val="625"/>
                <w:rFonts w:ascii="PT Astra Serif" w:hAnsi="PT Astra Serif"/>
              </w:rPr>
              <w:t xml:space="preserve">эпизоотического очага</w:t>
            </w:r>
            <w:r>
              <w:rPr>
                <w:rStyle w:val="625"/>
                <w:rFonts w:ascii="PT Astra Serif" w:hAnsi="PT Astra Serif"/>
              </w:rPr>
              <w:t xml:space="preserve">, за исключением их вывоза для проведения ветеринарно-санитарной экспертизы туш и органов в государственные ветеринарные учреждения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Том</w:t>
            </w:r>
            <w:r>
              <w:rPr>
                <w:rFonts w:ascii="PT Astra Serif" w:hAnsi="PT Astra Serif"/>
              </w:rPr>
              <w:t xml:space="preserve">ское</w:t>
            </w:r>
            <w:r>
              <w:rPr>
                <w:rFonts w:ascii="PT Astra Serif" w:hAnsi="PT Astra Serif"/>
              </w:rPr>
              <w:t xml:space="preserve"> 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</w:t>
            </w:r>
            <w:r>
              <w:rPr>
                <w:rFonts w:ascii="PT Astra Serif" w:hAnsi="PT Astra Serif"/>
                <w:b/>
              </w:rPr>
              <w:t xml:space="preserve">беспечить</w:t>
            </w:r>
            <w:r>
              <w:rPr>
                <w:rFonts w:ascii="PT Astra Serif" w:hAnsi="PT Astra Serif"/>
                <w:b/>
              </w:rPr>
              <w:t xml:space="preserve">: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 утилизацию туши медведя, зараженного трихинеллезом, путем сжигания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АУ «Томское</w:t>
            </w:r>
            <w:r>
              <w:rPr>
                <w:rFonts w:ascii="PT Astra Serif" w:hAnsi="PT Astra Serif"/>
              </w:rPr>
              <w:t xml:space="preserve"> районное вет</w:t>
            </w:r>
            <w:r>
              <w:rPr>
                <w:rFonts w:ascii="PT Astra Serif" w:hAnsi="PT Astra Serif"/>
              </w:rPr>
              <w:t xml:space="preserve">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625"/>
                <w:rFonts w:ascii="PT Astra Serif" w:hAnsi="PT Astra Serif"/>
              </w:rPr>
              <w:t xml:space="preserve"> - дезинфекцию места отбора материала, хранения и транспортного средства, используе</w:t>
            </w:r>
            <w:r>
              <w:rPr>
                <w:rStyle w:val="625"/>
                <w:rFonts w:ascii="PT Astra Serif" w:hAnsi="PT Astra Serif"/>
              </w:rPr>
              <w:t xml:space="preserve">мого для перевозки туши медведя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«</w:t>
            </w:r>
            <w:r>
              <w:rPr>
                <w:rFonts w:ascii="PT Astra Serif" w:hAnsi="PT Astra Serif"/>
              </w:rPr>
              <w:t xml:space="preserve">Том</w:t>
            </w:r>
            <w:r>
              <w:rPr>
                <w:rFonts w:ascii="PT Astra Serif" w:hAnsi="PT Astra Serif"/>
              </w:rPr>
              <w:t xml:space="preserve">ское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</w:t>
            </w:r>
            <w:r>
              <w:rPr>
                <w:rFonts w:ascii="PT Astra Serif" w:hAnsi="PT Astra Serif"/>
              </w:rPr>
              <w:t xml:space="preserve">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 отсутстви</w:t>
            </w:r>
            <w:r>
              <w:rPr>
                <w:rStyle w:val="625"/>
                <w:rFonts w:ascii="PT Astra Serif" w:hAnsi="PT Astra Serif"/>
              </w:rPr>
              <w:t xml:space="preserve">е</w:t>
            </w:r>
            <w:r>
              <w:rPr>
                <w:rStyle w:val="625"/>
                <w:rFonts w:ascii="PT Astra Serif" w:hAnsi="PT Astra Serif"/>
              </w:rPr>
              <w:t xml:space="preserve">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/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 </w:t>
            </w:r>
            <w:r>
              <w:rPr>
                <w:rStyle w:val="625"/>
                <w:rFonts w:ascii="PT Astra Serif" w:hAnsi="PT Astra Serif"/>
              </w:rPr>
              <w:t xml:space="preserve">уничтожение продуктов убоя, полученных</w:t>
            </w:r>
            <w:r>
              <w:rPr>
                <w:rStyle w:val="625"/>
                <w:rFonts w:ascii="PT Astra Serif" w:hAnsi="PT Astra Serif"/>
              </w:rPr>
              <w:t xml:space="preserve"> от восприимчивых животных, в ис</w:t>
            </w:r>
            <w:r>
              <w:rPr>
                <w:rStyle w:val="625"/>
                <w:rFonts w:ascii="PT Astra Serif" w:hAnsi="PT Astra Serif"/>
              </w:rPr>
              <w:t xml:space="preserve">следуемых пробах от которых будут</w:t>
            </w:r>
            <w:r>
              <w:rPr>
                <w:rStyle w:val="625"/>
                <w:rFonts w:ascii="PT Astra Serif" w:hAnsi="PT Astra Serif"/>
              </w:rPr>
              <w:t xml:space="preserve"> выявлены личинки возбудителя, а также трупы восприимч</w:t>
            </w:r>
            <w:r>
              <w:rPr>
                <w:rStyle w:val="625"/>
                <w:rFonts w:ascii="PT Astra Serif" w:hAnsi="PT Astra Serif"/>
              </w:rPr>
              <w:t xml:space="preserve">ивых животных в соответствии с В</w:t>
            </w:r>
            <w:r>
              <w:rPr>
                <w:rStyle w:val="625"/>
                <w:rFonts w:ascii="PT Astra Serif" w:hAnsi="PT Astra Serif"/>
              </w:rPr>
              <w:t xml:space="preserve">етеринарн</w:t>
            </w:r>
            <w:r>
              <w:rPr>
                <w:rStyle w:val="625"/>
                <w:rFonts w:ascii="PT Astra Serif" w:hAnsi="PT Astra Serif"/>
              </w:rPr>
              <w:t xml:space="preserve">ыми правилами утилизации биологических отходов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ОГА</w:t>
            </w:r>
            <w:r>
              <w:rPr>
                <w:rFonts w:ascii="PT Astra Serif" w:hAnsi="PT Astra Serif"/>
              </w:rPr>
              <w:t xml:space="preserve">У </w:t>
            </w:r>
            <w:r>
              <w:rPr>
                <w:rFonts w:ascii="PT Astra Serif" w:hAnsi="PT Astra Serif"/>
              </w:rPr>
              <w:t xml:space="preserve">«</w:t>
            </w:r>
            <w:r>
              <w:rPr>
                <w:rFonts w:ascii="PT Astra Serif" w:hAnsi="PT Astra Serif"/>
              </w:rPr>
              <w:t xml:space="preserve">Том</w:t>
            </w:r>
            <w:r>
              <w:rPr>
                <w:rFonts w:ascii="PT Astra Serif" w:hAnsi="PT Astra Serif"/>
              </w:rPr>
              <w:t xml:space="preserve">ское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</w:t>
            </w:r>
            <w:r>
              <w:rPr>
                <w:rFonts w:ascii="PT Astra Serif" w:hAnsi="PT Astra Serif"/>
              </w:rPr>
              <w:t xml:space="preserve">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44"/>
        </w:trPr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</w:t>
            </w:r>
            <w:r>
              <w:rPr>
                <w:rFonts w:ascii="PT Astra Serif" w:hAnsi="PT Astra Serif"/>
                <w:b/>
              </w:rPr>
              <w:t xml:space="preserve">риятия в неблагополучном пункте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14073" w:type="dxa"/>
            <w:vAlign w:val="top"/>
            <w:textDirection w:val="lrTb"/>
            <w:noWrap w:val="false"/>
          </w:tcPr>
          <w:p>
            <w:pPr>
              <w:pStyle w:val="619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</w:t>
            </w:r>
            <w:r>
              <w:rPr>
                <w:rFonts w:ascii="PT Astra Serif" w:hAnsi="PT Astra Serif"/>
                <w:b/>
              </w:rPr>
              <w:t xml:space="preserve">беспечить</w:t>
            </w:r>
            <w:r>
              <w:rPr>
                <w:rFonts w:ascii="PT Astra Serif" w:hAnsi="PT Astra Serif"/>
                <w:b/>
              </w:rPr>
              <w:t xml:space="preserve">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819"/>
        </w:trPr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625"/>
                <w:rFonts w:ascii="PT Astra Serif" w:hAnsi="PT Astra Serif"/>
              </w:rPr>
              <w:t xml:space="preserve">- отсутстви</w:t>
            </w:r>
            <w:r>
              <w:rPr>
                <w:rStyle w:val="625"/>
                <w:rFonts w:ascii="PT Astra Serif" w:hAnsi="PT Astra Serif"/>
              </w:rPr>
              <w:t xml:space="preserve">е</w:t>
            </w:r>
            <w:r>
              <w:rPr>
                <w:rStyle w:val="625"/>
                <w:rFonts w:ascii="PT Astra Serif" w:hAnsi="PT Astra Serif"/>
              </w:rPr>
              <w:t xml:space="preserve">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gridSpan w:val="4"/>
            <w:tcW w:w="14709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Отмена ограничительных мероприятий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/>
        <w:tc>
          <w:tcPr>
            <w:tcW w:w="636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vAlign w:val="top"/>
            <w:textDirection w:val="lrTb"/>
            <w:noWrap w:val="false"/>
          </w:tcPr>
          <w:p>
            <w:pPr>
              <w:pStyle w:val="619"/>
              <w:jc w:val="both"/>
            </w:pPr>
            <w:r>
              <w:rPr>
                <w:rFonts w:ascii="PT Astra Serif" w:hAnsi="PT Astra Serif"/>
              </w:rPr>
              <w:t xml:space="preserve">Отменить ограничительные мероприятия (карантин) через 1 год после последнего выявления трихинелл в тушах восприимчивых животных и проведения мероприятий, предусмотренных Ветеринарными правилами осуществления профилакт</w:t>
            </w:r>
            <w:r>
              <w:rPr>
                <w:rFonts w:ascii="PT Astra Serif" w:hAnsi="PT Astra Serif"/>
              </w:rPr>
              <w:t xml:space="preserve">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№ 154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vAlign w:val="top"/>
            <w:textDirection w:val="lrTb"/>
            <w:noWrap w:val="false"/>
          </w:tcPr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Через 1 год после последнего выявления трихинелл в тушах восприимчивых животных и проведения других мероприятий, предусмотренных П</w:t>
            </w:r>
            <w:r>
              <w:rPr>
                <w:rFonts w:ascii="PT Astra Serif" w:hAnsi="PT Astra Serif"/>
              </w:rPr>
              <w:t xml:space="preserve">равилами и получения от н</w:t>
            </w:r>
            <w:r>
              <w:rPr>
                <w:rFonts w:ascii="PT Astra Serif" w:hAnsi="PT Astra Serif"/>
              </w:rPr>
              <w:t xml:space="preserve">ачальника 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</w:t>
            </w:r>
            <w:r>
              <w:rPr>
                <w:rFonts w:ascii="PT Astra Serif" w:hAnsi="PT Astra Serif"/>
              </w:rPr>
              <w:t xml:space="preserve">«</w:t>
            </w:r>
            <w:r>
              <w:rPr>
                <w:rFonts w:ascii="PT Astra Serif" w:hAnsi="PT Astra Serif"/>
              </w:rPr>
              <w:t xml:space="preserve">Том</w:t>
            </w:r>
            <w:r>
              <w:rPr>
                <w:rFonts w:ascii="PT Astra Serif" w:hAnsi="PT Astra Serif"/>
              </w:rPr>
              <w:t xml:space="preserve">ское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</w:t>
            </w:r>
            <w:r>
              <w:rPr>
                <w:rFonts w:ascii="PT Astra Serif" w:hAnsi="PT Astra Serif"/>
              </w:rPr>
              <w:t xml:space="preserve">управление»</w:t>
            </w:r>
            <w:r>
              <w:rPr>
                <w:rFonts w:ascii="PT Astra Serif" w:hAnsi="PT Astra Serif"/>
                <w:highlight w:val="yellow"/>
              </w:rPr>
            </w:r>
            <w:r/>
          </w:p>
          <w:p>
            <w:pPr>
              <w:pStyle w:val="619"/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 заключения о выполнении мероприятий, предусмотренных Правилами 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vAlign w:val="top"/>
            <w:textDirection w:val="lrTb"/>
            <w:noWrap w:val="false"/>
          </w:tcPr>
          <w:p>
            <w:pPr>
              <w:pStyle w:val="619"/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Департамент ветеринарии Томской области,</w:t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619"/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</w:t>
            </w:r>
            <w:r>
              <w:rPr>
                <w:rFonts w:ascii="PT Astra Serif" w:hAnsi="PT Astra Serif"/>
              </w:rPr>
              <w:t xml:space="preserve">А</w:t>
            </w:r>
            <w:r>
              <w:rPr>
                <w:rFonts w:ascii="PT Astra Serif" w:hAnsi="PT Astra Serif"/>
              </w:rPr>
              <w:t xml:space="preserve">У </w:t>
            </w:r>
            <w:r>
              <w:rPr>
                <w:rFonts w:ascii="PT Astra Serif" w:hAnsi="PT Astra Serif"/>
              </w:rPr>
              <w:t xml:space="preserve">«</w:t>
            </w:r>
            <w:r>
              <w:rPr>
                <w:rFonts w:ascii="PT Astra Serif" w:hAnsi="PT Astra Serif"/>
              </w:rPr>
              <w:t xml:space="preserve">Томское </w:t>
            </w:r>
            <w:r>
              <w:rPr>
                <w:rFonts w:ascii="PT Astra Serif" w:hAnsi="PT Astra Serif"/>
              </w:rPr>
              <w:t xml:space="preserve">районное вет</w:t>
            </w:r>
            <w:r>
              <w:rPr>
                <w:rFonts w:ascii="PT Astra Serif" w:hAnsi="PT Astra Serif"/>
              </w:rPr>
              <w:t xml:space="preserve">еринарное </w:t>
            </w:r>
            <w:r>
              <w:rPr>
                <w:rFonts w:ascii="PT Astra Serif" w:hAnsi="PT Astra Serif"/>
              </w:rPr>
              <w:t xml:space="preserve">управление»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64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2">
      <w:start w:val="1"/>
      <w:numFmt w:val="decimal"/>
      <w:pStyle w:val="620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4">
      <w:start w:val="1"/>
      <w:numFmt w:val="decimal"/>
      <w:pStyle w:val="621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19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19"/>
    <w:next w:val="61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28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19"/>
    <w:next w:val="61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28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19"/>
    <w:next w:val="61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28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19"/>
    <w:next w:val="61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2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19"/>
    <w:next w:val="61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2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19"/>
    <w:next w:val="61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2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19"/>
    <w:next w:val="61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2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19"/>
    <w:next w:val="61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2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19"/>
    <w:next w:val="61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2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1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19"/>
    <w:next w:val="61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28"/>
    <w:link w:val="33"/>
    <w:uiPriority w:val="10"/>
    <w:rPr>
      <w:sz w:val="48"/>
      <w:szCs w:val="48"/>
    </w:rPr>
  </w:style>
  <w:style w:type="paragraph" w:styleId="35">
    <w:name w:val="Subtitle"/>
    <w:basedOn w:val="619"/>
    <w:next w:val="61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28"/>
    <w:link w:val="35"/>
    <w:uiPriority w:val="11"/>
    <w:rPr>
      <w:sz w:val="24"/>
      <w:szCs w:val="24"/>
    </w:rPr>
  </w:style>
  <w:style w:type="paragraph" w:styleId="37">
    <w:name w:val="Quote"/>
    <w:basedOn w:val="619"/>
    <w:next w:val="61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19"/>
    <w:next w:val="61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1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28"/>
    <w:link w:val="41"/>
    <w:uiPriority w:val="99"/>
  </w:style>
  <w:style w:type="paragraph" w:styleId="43">
    <w:name w:val="Footer"/>
    <w:basedOn w:val="61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28"/>
    <w:link w:val="43"/>
    <w:uiPriority w:val="99"/>
  </w:style>
  <w:style w:type="paragraph" w:styleId="45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1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28"/>
    <w:uiPriority w:val="99"/>
    <w:unhideWhenUsed/>
    <w:rPr>
      <w:vertAlign w:val="superscript"/>
    </w:rPr>
  </w:style>
  <w:style w:type="paragraph" w:styleId="177">
    <w:name w:val="endnote text"/>
    <w:basedOn w:val="61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28"/>
    <w:uiPriority w:val="99"/>
    <w:semiHidden/>
    <w:unhideWhenUsed/>
    <w:rPr>
      <w:vertAlign w:val="superscript"/>
    </w:rPr>
  </w:style>
  <w:style w:type="paragraph" w:styleId="180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next w:val="619"/>
    <w:link w:val="619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val="ru-RU" w:eastAsia="zh-CN" w:bidi="hi-IN"/>
    </w:rPr>
  </w:style>
  <w:style w:type="paragraph" w:styleId="620">
    <w:name w:val="Заголовок 3"/>
    <w:basedOn w:val="619"/>
    <w:next w:val="619"/>
    <w:link w:val="619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21">
    <w:name w:val="Заголовок 5"/>
    <w:basedOn w:val="619"/>
    <w:next w:val="619"/>
    <w:link w:val="619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22">
    <w:name w:val="Основной шрифт абзаца"/>
    <w:next w:val="622"/>
    <w:link w:val="619"/>
    <w:uiPriority w:val="1"/>
    <w:semiHidden/>
    <w:unhideWhenUsed/>
  </w:style>
  <w:style w:type="table" w:styleId="623">
    <w:name w:val="Обычная таблица"/>
    <w:next w:val="623"/>
    <w:link w:val="619"/>
    <w:uiPriority w:val="99"/>
    <w:semiHidden/>
    <w:unhideWhenUsed/>
    <w:tblPr/>
  </w:style>
  <w:style w:type="numbering" w:styleId="624">
    <w:name w:val="Нет списка"/>
    <w:next w:val="624"/>
    <w:link w:val="619"/>
    <w:uiPriority w:val="99"/>
    <w:semiHidden/>
    <w:unhideWhenUsed/>
  </w:style>
  <w:style w:type="character" w:styleId="625">
    <w:name w:val="Основной шрифт абзаца1"/>
    <w:next w:val="625"/>
    <w:link w:val="619"/>
  </w:style>
  <w:style w:type="character" w:styleId="626">
    <w:name w:val="Маркеры списка"/>
    <w:next w:val="626"/>
    <w:link w:val="619"/>
    <w:rPr>
      <w:rFonts w:ascii="OpenSymbol" w:hAnsi="OpenSymbol" w:eastAsia="OpenSymbol" w:cs="OpenSymbol"/>
    </w:rPr>
  </w:style>
  <w:style w:type="character" w:styleId="627">
    <w:name w:val="Zeichenformat"/>
    <w:next w:val="627"/>
    <w:link w:val="619"/>
  </w:style>
  <w:style w:type="character" w:styleId="628" w:default="1">
    <w:name w:val="Default Paragraph Font"/>
    <w:next w:val="628"/>
    <w:link w:val="619"/>
  </w:style>
  <w:style w:type="paragraph" w:styleId="629">
    <w:name w:val="Заголовок"/>
    <w:basedOn w:val="619"/>
    <w:next w:val="630"/>
    <w:link w:val="619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630">
    <w:name w:val="Основной текст"/>
    <w:basedOn w:val="619"/>
    <w:next w:val="630"/>
    <w:link w:val="619"/>
    <w:rPr>
      <w:sz w:val="21"/>
    </w:rPr>
  </w:style>
  <w:style w:type="paragraph" w:styleId="631">
    <w:name w:val="Обычный1"/>
    <w:next w:val="631"/>
    <w:link w:val="61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32">
    <w:name w:val="Название объекта"/>
    <w:basedOn w:val="619"/>
    <w:next w:val="630"/>
    <w:link w:val="619"/>
    <w:qFormat/>
    <w:pPr>
      <w:keepNext/>
      <w:spacing w:before="240" w:after="120"/>
    </w:pPr>
    <w:rPr>
      <w:rFonts w:ascii="Arial" w:hAnsi="Arial"/>
      <w:szCs w:val="28"/>
    </w:rPr>
  </w:style>
  <w:style w:type="paragraph" w:styleId="633">
    <w:name w:val="Подзаголовок"/>
    <w:basedOn w:val="632"/>
    <w:next w:val="630"/>
    <w:link w:val="619"/>
    <w:qFormat/>
    <w:pPr>
      <w:jc w:val="center"/>
    </w:pPr>
    <w:rPr>
      <w:i/>
      <w:iCs/>
    </w:rPr>
  </w:style>
  <w:style w:type="paragraph" w:styleId="634">
    <w:name w:val="Список"/>
    <w:basedOn w:val="630"/>
    <w:next w:val="634"/>
    <w:link w:val="619"/>
    <w:rPr>
      <w:rFonts w:ascii="Arial" w:hAnsi="Arial"/>
      <w:sz w:val="24"/>
    </w:rPr>
  </w:style>
  <w:style w:type="paragraph" w:styleId="635">
    <w:name w:val="Название объекта1"/>
    <w:basedOn w:val="619"/>
    <w:next w:val="635"/>
    <w:link w:val="619"/>
    <w:pPr>
      <w:spacing w:before="0" w:after="119"/>
      <w:suppressLineNumbers/>
    </w:pPr>
    <w:rPr>
      <w:i/>
      <w:iCs/>
    </w:rPr>
  </w:style>
  <w:style w:type="paragraph" w:styleId="636">
    <w:name w:val="Указатель1"/>
    <w:basedOn w:val="619"/>
    <w:next w:val="636"/>
    <w:link w:val="619"/>
    <w:pPr>
      <w:suppressLineNumbers/>
    </w:pPr>
    <w:rPr>
      <w:rFonts w:ascii="Arial" w:hAnsi="Arial"/>
      <w:sz w:val="24"/>
    </w:rPr>
  </w:style>
  <w:style w:type="paragraph" w:styleId="637">
    <w:name w:val="Верхний колонтитул"/>
    <w:basedOn w:val="619"/>
    <w:next w:val="637"/>
    <w:link w:val="61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38">
    <w:name w:val="Верхний колонтитул справа"/>
    <w:basedOn w:val="619"/>
    <w:next w:val="638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39">
    <w:name w:val="Верхний колонтитул слева"/>
    <w:basedOn w:val="619"/>
    <w:next w:val="639"/>
    <w:link w:val="619"/>
    <w:pPr>
      <w:tabs>
        <w:tab w:val="center" w:pos="5102" w:leader="none"/>
        <w:tab w:val="right" w:pos="10205" w:leader="none"/>
      </w:tabs>
      <w:suppressLineNumbers/>
    </w:pPr>
  </w:style>
  <w:style w:type="paragraph" w:styleId="640">
    <w:name w:val="Горизонтальная линия"/>
    <w:basedOn w:val="619"/>
    <w:next w:val="630"/>
    <w:link w:val="619"/>
    <w:pPr>
      <w:spacing w:before="0" w:after="283"/>
      <w:suppressLineNumbers/>
    </w:pPr>
    <w:rPr>
      <w:sz w:val="12"/>
      <w:szCs w:val="12"/>
    </w:rPr>
  </w:style>
  <w:style w:type="paragraph" w:styleId="641">
    <w:name w:val="Основной текст с отступом"/>
    <w:basedOn w:val="630"/>
    <w:next w:val="641"/>
    <w:link w:val="619"/>
    <w:pPr>
      <w:ind w:left="283" w:right="0" w:firstLine="0"/>
    </w:pPr>
  </w:style>
  <w:style w:type="paragraph" w:styleId="642">
    <w:name w:val="Красная строка"/>
    <w:basedOn w:val="630"/>
    <w:next w:val="642"/>
    <w:link w:val="619"/>
    <w:pPr>
      <w:ind w:left="0" w:right="0" w:firstLine="709"/>
    </w:pPr>
  </w:style>
  <w:style w:type="paragraph" w:styleId="643">
    <w:name w:val="Таблица"/>
    <w:basedOn w:val="635"/>
    <w:next w:val="643"/>
    <w:link w:val="619"/>
  </w:style>
  <w:style w:type="paragraph" w:styleId="644">
    <w:name w:val="Текст1"/>
    <w:basedOn w:val="635"/>
    <w:next w:val="644"/>
    <w:link w:val="619"/>
  </w:style>
  <w:style w:type="paragraph" w:styleId="645">
    <w:name w:val="Содержимое таблицы"/>
    <w:basedOn w:val="619"/>
    <w:next w:val="645"/>
    <w:link w:val="619"/>
    <w:pPr>
      <w:suppressLineNumbers/>
    </w:pPr>
  </w:style>
  <w:style w:type="paragraph" w:styleId="646">
    <w:name w:val="Текст шапки"/>
    <w:basedOn w:val="630"/>
    <w:next w:val="646"/>
    <w:link w:val="619"/>
    <w:pPr>
      <w:jc w:val="center"/>
    </w:pPr>
    <w:rPr>
      <w:b/>
      <w:bCs/>
      <w:sz w:val="30"/>
      <w:szCs w:val="30"/>
    </w:rPr>
  </w:style>
  <w:style w:type="paragraph" w:styleId="647">
    <w:name w:val="Подпись_дол+ФИО"/>
    <w:basedOn w:val="630"/>
    <w:next w:val="642"/>
    <w:link w:val="619"/>
    <w:pPr>
      <w:jc w:val="left"/>
      <w:tabs>
        <w:tab w:val="right" w:pos="10035" w:leader="none"/>
      </w:tabs>
    </w:pPr>
    <w:rPr>
      <w:sz w:val="28"/>
    </w:rPr>
  </w:style>
  <w:style w:type="paragraph" w:styleId="648">
    <w:name w:val="Содержимое врезки"/>
    <w:basedOn w:val="630"/>
    <w:next w:val="648"/>
    <w:link w:val="619"/>
  </w:style>
  <w:style w:type="paragraph" w:styleId="649">
    <w:name w:val="Подпись"/>
    <w:basedOn w:val="630"/>
    <w:next w:val="649"/>
    <w:link w:val="619"/>
    <w:pPr>
      <w:suppressLineNumbers/>
    </w:pPr>
  </w:style>
  <w:style w:type="paragraph" w:styleId="650">
    <w:name w:val="ПодписьСогл_дол+ФИО"/>
    <w:basedOn w:val="647"/>
    <w:next w:val="650"/>
    <w:link w:val="619"/>
    <w:rPr>
      <w:sz w:val="24"/>
    </w:rPr>
  </w:style>
  <w:style w:type="paragraph" w:styleId="651">
    <w:name w:val="Текст в заданном формате"/>
    <w:basedOn w:val="619"/>
    <w:next w:val="651"/>
    <w:link w:val="619"/>
    <w:rPr>
      <w:rFonts w:ascii="Courier New" w:hAnsi="Courier New" w:eastAsia="Courier New" w:cs="Courier New"/>
      <w:sz w:val="20"/>
      <w:szCs w:val="20"/>
    </w:rPr>
  </w:style>
  <w:style w:type="paragraph" w:styleId="652">
    <w:name w:val="DocumentMap"/>
    <w:next w:val="652"/>
    <w:link w:val="6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val="ru-RU" w:eastAsia="ru-RU" w:bidi="ar-SA"/>
    </w:rPr>
  </w:style>
  <w:style w:type="paragraph" w:styleId="653">
    <w:name w:val="Основной текст с отступом1"/>
    <w:basedOn w:val="619"/>
    <w:next w:val="653"/>
    <w:link w:val="619"/>
    <w:pPr>
      <w:ind w:left="0" w:right="0" w:firstLine="709"/>
      <w:jc w:val="both"/>
      <w:widowControl w:val="off"/>
    </w:pPr>
    <w:rPr>
      <w:rFonts w:ascii="Times New Roman" w:hAnsi="Times New Roman" w:eastAsia="Lucida Sans Unicode" w:cs="Times New Roman"/>
      <w:sz w:val="21"/>
      <w:szCs w:val="24"/>
      <w:lang w:val="ru-RU" w:eastAsia="zh-CN" w:bidi="hi-IN"/>
    </w:rPr>
  </w:style>
  <w:style w:type="paragraph" w:styleId="654">
    <w:name w:val="Standard"/>
    <w:next w:val="654"/>
    <w:link w:val="619"/>
    <w:qFormat/>
    <w:pPr>
      <w:jc w:val="both"/>
      <w:widowControl w:val="off"/>
    </w:pPr>
    <w:rPr>
      <w:rFonts w:eastAsia="Lucida Sans Unicode" w:cs="Mangal"/>
      <w:sz w:val="28"/>
      <w:szCs w:val="24"/>
      <w:lang w:val="ru-RU" w:eastAsia="zh-CN" w:bidi="hi-IN"/>
    </w:rPr>
  </w:style>
  <w:style w:type="paragraph" w:styleId="655">
    <w:name w:val="Текст выноски"/>
    <w:basedOn w:val="619"/>
    <w:next w:val="655"/>
    <w:link w:val="656"/>
    <w:uiPriority w:val="99"/>
    <w:semiHidden/>
    <w:unhideWhenUsed/>
    <w:rPr>
      <w:rFonts w:ascii="Tahoma" w:hAnsi="Tahoma"/>
      <w:sz w:val="16"/>
      <w:szCs w:val="14"/>
    </w:rPr>
  </w:style>
  <w:style w:type="character" w:styleId="656">
    <w:name w:val="Текст выноски Знак"/>
    <w:next w:val="656"/>
    <w:link w:val="655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numbering" w:styleId="1156" w:default="1">
    <w:name w:val="No List"/>
    <w:uiPriority w:val="99"/>
    <w:semiHidden/>
    <w:unhideWhenUsed/>
  </w:style>
  <w:style w:type="table" w:styleId="1157" w:default="1">
    <w:name w:val="Normal Table"/>
    <w:uiPriority w:val="99"/>
    <w:semiHidden/>
    <w:unhideWhenUsed/>
    <w:tblPr/>
  </w:style>
  <w:style w:type="paragraph" w:styleId="1_792" w:customStyle="1">
    <w:name w:val="Обычный (веб)"/>
    <w:basedOn w:val="635"/>
    <w:next w:val="640"/>
    <w:link w:val="635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19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Распоряжение Установление карантина Березовка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7</cp:revision>
  <dcterms:created xsi:type="dcterms:W3CDTF">2025-04-29T07:08:00Z</dcterms:created>
  <dcterms:modified xsi:type="dcterms:W3CDTF">2026-06-26T07:02:50Z</dcterms:modified>
  <cp:version>917504</cp:version>
</cp:coreProperties>
</file>