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2"/>
      </w:pPr>
      <w: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/>
    </w:p>
    <w:p>
      <w:pPr>
        <w:pStyle w:val="618"/>
        <w:tabs>
          <w:tab w:val="right" w:pos="9930" w:leader="none"/>
        </w:tabs>
      </w:pPr>
      <w:r/>
      <w:r/>
    </w:p>
    <w:p>
      <w:pPr>
        <w:pStyle w:val="618"/>
        <w:tabs>
          <w:tab w:val="right" w:pos="9930" w:leader="none"/>
        </w:tabs>
      </w:pPr>
      <w:r/>
      <w:r/>
    </w:p>
    <w:tbl>
      <w:tblPr>
        <w:tblW w:w="9701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669"/>
        <w:gridCol w:w="2317"/>
        <w:gridCol w:w="2729"/>
        <w:gridCol w:w="397"/>
        <w:gridCol w:w="1432"/>
        <w:gridCol w:w="157"/>
      </w:tblGrid>
      <w:tr>
        <w:trPr>
          <w:trHeight w:val="317"/>
        </w:trPr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669" w:type="dxa"/>
            <w:vAlign w:val="top"/>
            <w:textDirection w:val="lrTb"/>
            <w:noWrap w:val="false"/>
          </w:tcPr>
          <w:p>
            <w:pPr>
              <w:pStyle w:val="621"/>
              <w:jc w:val="center"/>
            </w:pPr>
            <w:r>
              <w:t xml:space="preserve">25.02.2026</w:t>
            </w:r>
            <w:r/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046" w:type="dxa"/>
            <w:vAlign w:val="top"/>
            <w:textDirection w:val="lrTb"/>
            <w:noWrap w:val="false"/>
          </w:tcPr>
          <w:p>
            <w:pPr>
              <w:pStyle w:val="621"/>
            </w:pPr>
            <w:r/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397" w:type="dxa"/>
            <w:vAlign w:val="top"/>
            <w:textDirection w:val="lrTb"/>
            <w:noWrap w:val="false"/>
          </w:tcPr>
          <w:p>
            <w:pPr>
              <w:pStyle w:val="618"/>
              <w:tabs>
                <w:tab w:val="right" w:pos="9930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432" w:type="dxa"/>
            <w:vAlign w:val="top"/>
            <w:textDirection w:val="lrTb"/>
            <w:noWrap w:val="false"/>
          </w:tcPr>
          <w:p>
            <w:pPr>
              <w:pStyle w:val="621"/>
            </w:pPr>
            <w:r>
              <w:t xml:space="preserve">24-р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57" w:type="dxa"/>
            <w:vAlign w:val="top"/>
            <w:textDirection w:val="lrTb"/>
            <w:noWrap w:val="false"/>
          </w:tcPr>
          <w:p>
            <w:pPr>
              <w:pStyle w:val="621"/>
            </w:pPr>
            <w:r/>
            <w:r/>
          </w:p>
        </w:tc>
      </w:tr>
      <w:tr>
        <w:trPr>
          <w:trHeight w:val="873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621"/>
              <w:jc w:val="center"/>
            </w:pPr>
            <w:r/>
            <w:r/>
          </w:p>
        </w:tc>
      </w:tr>
      <w:tr>
        <w:trPr>
          <w:trHeight w:val="634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</w:t>
            </w:r>
            <w:r>
              <w:rPr>
                <w:rFonts w:ascii="PT Astra Serif" w:hAnsi="PT Astra Serif"/>
                <w:szCs w:val="28"/>
              </w:rPr>
              <w:t xml:space="preserve">отмене</w:t>
            </w:r>
            <w:r>
              <w:rPr>
                <w:rFonts w:ascii="PT Astra Serif" w:hAnsi="PT Astra Serif"/>
                <w:szCs w:val="28"/>
              </w:rPr>
              <w:t xml:space="preserve"> ограничительных мероприятий (карантина) </w:t>
            </w: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621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по инфекционной анемии лошадей на отдельной территории </w:t>
            </w: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621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Томского</w:t>
            </w:r>
            <w:r>
              <w:rPr>
                <w:rFonts w:ascii="PT Astra Serif" w:hAnsi="PT Astra Serif"/>
                <w:szCs w:val="28"/>
              </w:rPr>
              <w:t xml:space="preserve"> района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Томской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области</w:t>
            </w:r>
            <w:r/>
          </w:p>
        </w:tc>
      </w:tr>
      <w:tr>
        <w:trPr>
          <w:trHeight w:val="317"/>
        </w:trPr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4986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715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07"/>
        <w:ind w:firstLine="708"/>
        <w:jc w:val="both"/>
        <w:rPr>
          <w:rFonts w:ascii="PT Astra Serif" w:hAnsi="PT Astra Serif" w:cs="Times New Roman"/>
          <w:sz w:val="28"/>
          <w:szCs w:val="28"/>
        </w:rPr>
        <w:outlineLvl w:val="0"/>
      </w:pPr>
      <w:r>
        <w:rPr>
          <w:rFonts w:ascii="PT Astra Serif" w:hAnsi="PT Astra Serif"/>
          <w:sz w:val="28"/>
          <w:szCs w:val="28"/>
        </w:rPr>
        <w:t xml:space="preserve">1. </w:t>
      </w:r>
      <w:r>
        <w:rPr>
          <w:rFonts w:ascii="PT Astra Serif" w:hAnsi="PT Astra Serif"/>
          <w:sz w:val="28"/>
          <w:szCs w:val="28"/>
        </w:rPr>
        <w:t xml:space="preserve"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, 17 Закона Российской Федерации от 14 мая 1993 года №4979-1 «О ветеринарии», Ветеринарными пра</w:t>
      </w:r>
      <w:r>
        <w:rPr>
          <w:rFonts w:ascii="PT Astra Serif" w:hAnsi="PT Astra Serif"/>
          <w:sz w:val="28"/>
          <w:szCs w:val="28"/>
        </w:rPr>
        <w:t xml:space="preserve">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инфекционной анемии лошадей, утвержденными пр</w:t>
      </w:r>
      <w:r>
        <w:rPr>
          <w:rFonts w:ascii="PT Astra Serif" w:hAnsi="PT Astra Serif"/>
          <w:sz w:val="28"/>
          <w:szCs w:val="28"/>
        </w:rPr>
        <w:t xml:space="preserve">иказом Минсельхоза России от 26</w:t>
      </w:r>
      <w:r>
        <w:rPr>
          <w:rFonts w:ascii="PT Astra Serif" w:hAnsi="PT Astra Serif"/>
          <w:sz w:val="28"/>
          <w:szCs w:val="28"/>
        </w:rPr>
        <w:t xml:space="preserve">.0</w:t>
      </w:r>
      <w:r>
        <w:rPr>
          <w:rFonts w:ascii="PT Astra Serif" w:hAnsi="PT Astra Serif"/>
          <w:sz w:val="28"/>
          <w:szCs w:val="28"/>
        </w:rPr>
        <w:t xml:space="preserve">8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20</w:t>
      </w:r>
      <w:r>
        <w:rPr>
          <w:rFonts w:ascii="PT Astra Serif" w:hAnsi="PT Astra Serif"/>
          <w:sz w:val="28"/>
          <w:szCs w:val="28"/>
        </w:rPr>
        <w:t xml:space="preserve">21</w:t>
      </w:r>
      <w:r>
        <w:rPr>
          <w:rFonts w:ascii="PT Astra Serif" w:hAnsi="PT Astra Serif"/>
          <w:sz w:val="28"/>
          <w:szCs w:val="28"/>
        </w:rPr>
        <w:t xml:space="preserve"> года №</w:t>
      </w:r>
      <w:r>
        <w:rPr>
          <w:rFonts w:ascii="PT Astra Serif" w:hAnsi="PT Astra Serif"/>
          <w:sz w:val="28"/>
          <w:szCs w:val="28"/>
        </w:rPr>
        <w:t xml:space="preserve">593</w:t>
      </w:r>
      <w:r>
        <w:rPr>
          <w:rFonts w:ascii="PT Astra Serif" w:hAnsi="PT Astra Serif"/>
          <w:sz w:val="28"/>
          <w:szCs w:val="28"/>
        </w:rPr>
        <w:t xml:space="preserve">, Законом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от 12 октября 2005</w:t>
      </w:r>
      <w:r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№182-ОЗ «Об обеспечении эпизоотического и ветеринарно-санитарного благополучия в Томской области», постановлением Губерн</w:t>
      </w:r>
      <w:r>
        <w:rPr>
          <w:rFonts w:ascii="PT Astra Serif" w:hAnsi="PT Astra Serif"/>
          <w:sz w:val="28"/>
          <w:szCs w:val="28"/>
        </w:rPr>
        <w:t xml:space="preserve">атора Томской области от 11.09.</w:t>
      </w:r>
      <w:r>
        <w:rPr>
          <w:rFonts w:ascii="PT Astra Serif" w:hAnsi="PT Astra Serif"/>
          <w:sz w:val="28"/>
          <w:szCs w:val="28"/>
        </w:rPr>
        <w:t xml:space="preserve">2018 № 83 «Об утверждении положения о Департаменте ветеринарии Томской области»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на основании </w:t>
      </w:r>
      <w:r>
        <w:rPr>
          <w:rFonts w:ascii="PT Astra Serif" w:hAnsi="PT Astra Serif"/>
          <w:sz w:val="28"/>
          <w:szCs w:val="28"/>
        </w:rPr>
        <w:t xml:space="preserve">представления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начальника ОГА</w:t>
      </w:r>
      <w:r>
        <w:rPr>
          <w:rFonts w:ascii="PT Astra Serif" w:hAnsi="PT Astra Serif"/>
          <w:sz w:val="28"/>
          <w:szCs w:val="28"/>
        </w:rPr>
        <w:t xml:space="preserve">У «</w:t>
      </w:r>
      <w:r>
        <w:rPr>
          <w:rFonts w:ascii="PT Astra Serif" w:hAnsi="PT Astra Serif"/>
          <w:sz w:val="28"/>
          <w:szCs w:val="28"/>
        </w:rPr>
        <w:t xml:space="preserve">Томское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районное</w:t>
      </w:r>
      <w:r>
        <w:rPr>
          <w:rFonts w:ascii="PT Astra Serif" w:hAnsi="PT Astra Serif"/>
          <w:sz w:val="28"/>
          <w:szCs w:val="28"/>
        </w:rPr>
        <w:t xml:space="preserve"> ветеринарное управление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24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.202</w:t>
      </w:r>
      <w:r>
        <w:rPr>
          <w:rFonts w:ascii="PT Astra Serif" w:hAnsi="PT Astra Serif"/>
          <w:sz w:val="28"/>
          <w:szCs w:val="28"/>
        </w:rPr>
        <w:t xml:space="preserve">6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6</w:t>
      </w:r>
      <w:r>
        <w:rPr>
          <w:rFonts w:ascii="PT Astra Serif" w:hAnsi="PT Astra Serif"/>
          <w:sz w:val="28"/>
          <w:szCs w:val="28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</w:t>
      </w:r>
      <w:r>
        <w:rPr>
          <w:rFonts w:ascii="PT Astra Serif" w:hAnsi="PT Astra Serif"/>
          <w:sz w:val="28"/>
          <w:szCs w:val="28"/>
        </w:rPr>
        <w:t xml:space="preserve">тменить ограничительные мероприятия (карантин) по инфекционной анемии лошадей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, признав благополучным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личное подсобное</w:t>
      </w:r>
      <w:r>
        <w:rPr>
          <w:rFonts w:ascii="PT Astra Serif" w:hAnsi="PT Astra Serif" w:cs="Times New Roman"/>
          <w:sz w:val="28"/>
          <w:szCs w:val="28"/>
        </w:rPr>
        <w:t xml:space="preserve"> хозяйство </w:t>
      </w:r>
      <w:r>
        <w:rPr>
          <w:rFonts w:ascii="PT Astra Serif" w:hAnsi="PT Astra Serif" w:cs="Times New Roman"/>
          <w:sz w:val="28"/>
          <w:szCs w:val="28"/>
          <w:lang w:val="en-US"/>
        </w:rPr>
        <w:t xml:space="preserve">&lt;</w:t>
      </w:r>
      <w:r>
        <w:rPr>
          <w:rFonts w:ascii="PT Astra Serif" w:hAnsi="PT Astra Serif" w:cs="Times New Roman"/>
          <w:sz w:val="28"/>
          <w:szCs w:val="28"/>
          <w:lang w:val="ru-RU"/>
        </w:rPr>
        <w:t xml:space="preserve">фамилия, имя, отчество</w:t>
      </w:r>
      <w:r>
        <w:rPr>
          <w:rFonts w:ascii="PT Astra Serif" w:hAnsi="PT Astra Serif" w:cs="Times New Roman"/>
          <w:sz w:val="28"/>
          <w:szCs w:val="28"/>
          <w:lang w:val="en-US"/>
        </w:rPr>
        <w:t xml:space="preserve">&gt;</w:t>
      </w:r>
      <w:r>
        <w:rPr>
          <w:rFonts w:ascii="PT Astra Serif" w:hAnsi="PT Astra Serif" w:cs="Times New Roman"/>
          <w:sz w:val="28"/>
          <w:szCs w:val="28"/>
        </w:rPr>
        <w:t xml:space="preserve">, расположенное по адресу: Томская область, </w:t>
      </w:r>
      <w:r>
        <w:rPr>
          <w:rFonts w:ascii="PT Astra Serif" w:hAnsi="PT Astra Serif" w:cs="Times New Roman"/>
          <w:sz w:val="28"/>
          <w:szCs w:val="28"/>
        </w:rPr>
        <w:t xml:space="preserve">Томский</w:t>
      </w:r>
      <w:r>
        <w:rPr>
          <w:rFonts w:ascii="PT Astra Serif" w:hAnsi="PT Astra Serif" w:cs="Times New Roman"/>
          <w:sz w:val="28"/>
          <w:szCs w:val="28"/>
        </w:rPr>
        <w:t xml:space="preserve"> район, </w:t>
      </w:r>
      <w:r>
        <w:rPr>
          <w:rFonts w:ascii="PT Astra Serif" w:hAnsi="PT Astra Serif" w:cs="Times New Roman"/>
          <w:sz w:val="28"/>
          <w:szCs w:val="28"/>
        </w:rPr>
        <w:t xml:space="preserve">с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Рыбалово</w:t>
      </w:r>
      <w:r>
        <w:rPr>
          <w:rFonts w:ascii="PT Astra Serif" w:hAnsi="PT Astra Serif" w:cs="Times New Roman"/>
          <w:sz w:val="28"/>
          <w:szCs w:val="28"/>
        </w:rPr>
        <w:t xml:space="preserve">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  <w:lang w:val="en-US"/>
        </w:rPr>
        <w:t xml:space="preserve">&lt;</w:t>
      </w:r>
      <w:r>
        <w:rPr>
          <w:rFonts w:ascii="PT Astra Serif" w:hAnsi="PT Astra Serif" w:cs="Times New Roman"/>
          <w:sz w:val="28"/>
          <w:szCs w:val="28"/>
          <w:lang w:val="ru-RU"/>
        </w:rPr>
        <w:t xml:space="preserve">адрес</w:t>
      </w:r>
      <w:r>
        <w:rPr>
          <w:rFonts w:ascii="PT Astra Serif" w:hAnsi="PT Astra Serif" w:cs="Times New Roman"/>
          <w:sz w:val="28"/>
          <w:szCs w:val="28"/>
          <w:lang w:val="en-US"/>
        </w:rPr>
        <w:t xml:space="preserve">&gt;</w:t>
      </w: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618"/>
        <w:ind w:firstLine="709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2. Признать утратившим силу распоряжение </w:t>
      </w:r>
      <w:r>
        <w:rPr>
          <w:color w:val="000000"/>
          <w:spacing w:val="2"/>
          <w:szCs w:val="28"/>
        </w:rPr>
        <w:t xml:space="preserve">Департамента</w:t>
      </w:r>
      <w:r>
        <w:rPr>
          <w:color w:val="000000"/>
          <w:spacing w:val="2"/>
          <w:szCs w:val="28"/>
        </w:rPr>
        <w:t xml:space="preserve"> </w:t>
      </w:r>
      <w:r>
        <w:rPr>
          <w:color w:val="000000"/>
          <w:spacing w:val="2"/>
          <w:szCs w:val="28"/>
        </w:rPr>
        <w:t xml:space="preserve">ветеринарии Томской области от </w:t>
      </w:r>
      <w:r>
        <w:rPr>
          <w:color w:val="000000"/>
          <w:spacing w:val="2"/>
          <w:szCs w:val="28"/>
        </w:rPr>
        <w:t xml:space="preserve">2</w:t>
      </w:r>
      <w:r>
        <w:rPr>
          <w:color w:val="000000"/>
          <w:spacing w:val="2"/>
          <w:szCs w:val="28"/>
        </w:rPr>
        <w:t xml:space="preserve">6</w:t>
      </w:r>
      <w:r>
        <w:rPr>
          <w:color w:val="000000"/>
          <w:spacing w:val="2"/>
          <w:szCs w:val="28"/>
        </w:rPr>
        <w:t xml:space="preserve">.</w:t>
      </w:r>
      <w:r>
        <w:rPr>
          <w:color w:val="000000"/>
          <w:spacing w:val="2"/>
          <w:szCs w:val="28"/>
        </w:rPr>
        <w:t xml:space="preserve">05</w:t>
      </w:r>
      <w:r>
        <w:rPr>
          <w:color w:val="000000"/>
          <w:spacing w:val="2"/>
          <w:szCs w:val="28"/>
        </w:rPr>
        <w:t xml:space="preserve">.</w:t>
      </w:r>
      <w:r>
        <w:rPr>
          <w:color w:val="000000"/>
          <w:spacing w:val="2"/>
          <w:szCs w:val="28"/>
        </w:rPr>
        <w:t xml:space="preserve">202</w:t>
      </w:r>
      <w:r>
        <w:rPr>
          <w:color w:val="000000"/>
          <w:spacing w:val="2"/>
          <w:szCs w:val="28"/>
        </w:rPr>
        <w:t xml:space="preserve">1</w:t>
      </w:r>
      <w:r>
        <w:rPr>
          <w:color w:val="000000"/>
          <w:spacing w:val="2"/>
          <w:szCs w:val="28"/>
        </w:rPr>
        <w:t xml:space="preserve"> № </w:t>
      </w:r>
      <w:r>
        <w:rPr>
          <w:color w:val="000000"/>
          <w:spacing w:val="2"/>
          <w:szCs w:val="28"/>
        </w:rPr>
        <w:t xml:space="preserve">1</w:t>
      </w:r>
      <w:r>
        <w:rPr>
          <w:color w:val="000000"/>
          <w:spacing w:val="2"/>
          <w:szCs w:val="28"/>
        </w:rPr>
        <w:t xml:space="preserve">9</w:t>
      </w:r>
      <w:r>
        <w:rPr>
          <w:color w:val="000000"/>
          <w:spacing w:val="2"/>
          <w:szCs w:val="28"/>
        </w:rPr>
        <w:t xml:space="preserve">9</w:t>
      </w:r>
      <w:r>
        <w:rPr>
          <w:color w:val="000000"/>
          <w:spacing w:val="2"/>
          <w:szCs w:val="28"/>
        </w:rPr>
        <w:t xml:space="preserve">-р «Об установлении ограничительных мероприятий (карантина) по инфекционной анемии лошадей на отдельной территории </w:t>
      </w:r>
      <w:r>
        <w:rPr>
          <w:color w:val="000000"/>
          <w:spacing w:val="2"/>
          <w:szCs w:val="28"/>
        </w:rPr>
        <w:t xml:space="preserve">Томского</w:t>
      </w:r>
      <w:r>
        <w:rPr>
          <w:color w:val="000000"/>
          <w:spacing w:val="2"/>
          <w:szCs w:val="28"/>
        </w:rPr>
        <w:t xml:space="preserve"> района</w:t>
      </w:r>
      <w:r>
        <w:rPr>
          <w:color w:val="000000"/>
          <w:spacing w:val="2"/>
          <w:szCs w:val="28"/>
        </w:rPr>
        <w:t xml:space="preserve"> Томской области».</w:t>
      </w:r>
      <w:r>
        <w:rPr>
          <w:color w:val="000000"/>
          <w:spacing w:val="2"/>
          <w:szCs w:val="28"/>
        </w:rPr>
      </w:r>
      <w:r/>
    </w:p>
    <w:p>
      <w:pPr>
        <w:pStyle w:val="620"/>
        <w:ind w:left="-15" w:firstLine="84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20"/>
        <w:ind w:left="-15" w:firstLine="84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20"/>
        <w:ind w:left="-15" w:firstLine="84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23"/>
      </w:pPr>
      <w:r>
        <w:rPr>
          <w:szCs w:val="28"/>
        </w:rPr>
        <w:t xml:space="preserve">И.о.</w:t>
      </w:r>
      <w:r>
        <w:rPr>
          <w:szCs w:val="28"/>
        </w:rPr>
        <w:t xml:space="preserve">Н</w:t>
      </w:r>
      <w:r>
        <w:rPr>
          <w:szCs w:val="28"/>
        </w:rPr>
        <w:t xml:space="preserve">ачальник</w:t>
      </w:r>
      <w:r>
        <w:rPr>
          <w:szCs w:val="28"/>
        </w:rPr>
        <w:t xml:space="preserve">а</w:t>
      </w:r>
      <w:r>
        <w:rPr>
          <w:szCs w:val="28"/>
        </w:rPr>
        <w:t xml:space="preserve"> </w:t>
      </w:r>
      <w:r>
        <w:rPr>
          <w:szCs w:val="28"/>
        </w:rPr>
        <w:t xml:space="preserve">департамента</w:t>
      </w:r>
      <w:r>
        <w:rPr>
          <w:szCs w:val="28"/>
        </w:rPr>
        <w:t xml:space="preserve">                                                   </w:t>
      </w:r>
      <w:r>
        <w:rPr>
          <w:szCs w:val="28"/>
        </w:rPr>
        <w:t xml:space="preserve">       </w:t>
      </w:r>
      <w:r>
        <w:rPr>
          <w:szCs w:val="28"/>
        </w:rPr>
        <w:tab/>
      </w:r>
      <w:r>
        <w:rPr>
          <w:szCs w:val="28"/>
        </w:rPr>
        <w:t xml:space="preserve">И.В.Егоров</w:t>
      </w:r>
      <w:r/>
    </w:p>
    <w:sectPr>
      <w:headerReference w:type="default" r:id="rId8"/>
      <w:footnotePr/>
      <w:endnotePr/>
      <w:type w:val="nextPage"/>
      <w:pgSz w:w="11906" w:h="16838" w:orient="portrait"/>
      <w:pgMar w:top="1134" w:right="964" w:bottom="1134" w:left="1134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7"/>
    <w:next w:val="607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7"/>
    <w:next w:val="607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7"/>
    <w:next w:val="607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7"/>
    <w:next w:val="607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7"/>
    <w:next w:val="607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7"/>
    <w:next w:val="607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7"/>
    <w:next w:val="607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7"/>
    <w:next w:val="607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7"/>
    <w:next w:val="607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7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7"/>
    <w:next w:val="607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7"/>
    <w:next w:val="607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7"/>
    <w:next w:val="607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7"/>
    <w:next w:val="607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7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7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7"/>
    <w:next w:val="6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7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7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7"/>
    <w:next w:val="607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7"/>
    <w:next w:val="607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7"/>
    <w:next w:val="607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7"/>
    <w:next w:val="607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7"/>
    <w:next w:val="607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7"/>
    <w:next w:val="607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7"/>
    <w:next w:val="607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7"/>
    <w:next w:val="607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7"/>
    <w:next w:val="607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7"/>
    <w:next w:val="607"/>
    <w:uiPriority w:val="99"/>
    <w:unhideWhenUsed/>
    <w:pPr>
      <w:spacing w:after="0" w:afterAutospacing="0"/>
    </w:pPr>
  </w:style>
  <w:style w:type="paragraph" w:styleId="607" w:default="1">
    <w:name w:val="Normal"/>
    <w:next w:val="607"/>
    <w:link w:val="607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608">
    <w:name w:val="Основной шрифт абзаца"/>
    <w:next w:val="608"/>
    <w:link w:val="607"/>
    <w:uiPriority w:val="1"/>
    <w:semiHidden/>
    <w:unhideWhenUsed/>
  </w:style>
  <w:style w:type="table" w:styleId="609">
    <w:name w:val="Обычная таблица"/>
    <w:next w:val="609"/>
    <w:link w:val="607"/>
    <w:uiPriority w:val="99"/>
    <w:semiHidden/>
    <w:unhideWhenUsed/>
    <w:tblPr/>
  </w:style>
  <w:style w:type="numbering" w:styleId="610">
    <w:name w:val="Нет списка"/>
    <w:next w:val="610"/>
    <w:link w:val="607"/>
    <w:uiPriority w:val="99"/>
    <w:semiHidden/>
    <w:unhideWhenUsed/>
  </w:style>
  <w:style w:type="character" w:styleId="611">
    <w:name w:val="Верхний колонтитул Знак"/>
    <w:next w:val="611"/>
    <w:link w:val="607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612">
    <w:name w:val="Текст выноски Знак"/>
    <w:next w:val="612"/>
    <w:link w:val="607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613">
    <w:name w:val="Заголовок"/>
    <w:basedOn w:val="607"/>
    <w:next w:val="614"/>
    <w:link w:val="607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614">
    <w:name w:val="Основной текст"/>
    <w:basedOn w:val="607"/>
    <w:next w:val="614"/>
    <w:link w:val="607"/>
    <w:pPr>
      <w:spacing w:after="140" w:line="276" w:lineRule="auto"/>
    </w:pPr>
  </w:style>
  <w:style w:type="paragraph" w:styleId="615">
    <w:name w:val="Список"/>
    <w:basedOn w:val="614"/>
    <w:next w:val="615"/>
    <w:link w:val="607"/>
  </w:style>
  <w:style w:type="paragraph" w:styleId="616">
    <w:name w:val="Название объекта"/>
    <w:basedOn w:val="607"/>
    <w:next w:val="616"/>
    <w:link w:val="607"/>
    <w:qFormat/>
    <w:pPr>
      <w:spacing w:before="120" w:after="120"/>
      <w:suppressLineNumbers/>
    </w:pPr>
    <w:rPr>
      <w:i/>
      <w:iCs/>
      <w:sz w:val="24"/>
    </w:rPr>
  </w:style>
  <w:style w:type="paragraph" w:styleId="617">
    <w:name w:val="Указатель"/>
    <w:basedOn w:val="607"/>
    <w:next w:val="617"/>
    <w:link w:val="607"/>
    <w:qFormat/>
    <w:pPr>
      <w:suppressLineNumbers/>
    </w:pPr>
  </w:style>
  <w:style w:type="paragraph" w:styleId="618">
    <w:name w:val="Standard"/>
    <w:next w:val="618"/>
    <w:link w:val="607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619">
    <w:name w:val="Верхний колонтитул"/>
    <w:basedOn w:val="618"/>
    <w:next w:val="619"/>
    <w:link w:val="607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20">
    <w:name w:val="Основной текст с отступом1"/>
    <w:basedOn w:val="607"/>
    <w:next w:val="620"/>
    <w:link w:val="607"/>
    <w:qFormat/>
    <w:pPr>
      <w:ind w:firstLine="709"/>
      <w:jc w:val="both"/>
    </w:pPr>
    <w:rPr>
      <w:rFonts w:ascii="Times New Roman" w:hAnsi="Times New Roman"/>
    </w:rPr>
  </w:style>
  <w:style w:type="paragraph" w:styleId="621">
    <w:name w:val="Содержимое таблицы"/>
    <w:basedOn w:val="618"/>
    <w:next w:val="621"/>
    <w:link w:val="607"/>
    <w:qFormat/>
    <w:pPr>
      <w:suppressLineNumbers/>
    </w:pPr>
  </w:style>
  <w:style w:type="paragraph" w:styleId="622">
    <w:name w:val="Текст шапки"/>
    <w:basedOn w:val="607"/>
    <w:next w:val="622"/>
    <w:link w:val="607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623">
    <w:name w:val="Подпись_дол+ФИО"/>
    <w:basedOn w:val="607"/>
    <w:next w:val="620"/>
    <w:link w:val="607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624">
    <w:name w:val="Текст выноски"/>
    <w:basedOn w:val="607"/>
    <w:next w:val="624"/>
    <w:link w:val="607"/>
    <w:uiPriority w:val="99"/>
    <w:semiHidden/>
    <w:unhideWhenUsed/>
    <w:qFormat/>
    <w:rPr>
      <w:rFonts w:ascii="Tahoma" w:hAnsi="Tahoma"/>
      <w:sz w:val="16"/>
      <w:szCs w:val="14"/>
    </w:rPr>
  </w:style>
  <w:style w:type="paragraph" w:styleId="625">
    <w:name w:val="western"/>
    <w:basedOn w:val="607"/>
    <w:next w:val="625"/>
    <w:link w:val="607"/>
    <w:pPr>
      <w:jc w:val="both"/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0"/>
      <w:szCs w:val="20"/>
      <w:lang w:eastAsia="ru-RU" w:bidi="ar-SA"/>
    </w:rPr>
  </w:style>
  <w:style w:type="character" w:styleId="1056" w:default="1">
    <w:name w:val="Default Paragraph Font"/>
    <w:uiPriority w:val="1"/>
    <w:semiHidden/>
    <w:unhideWhenUsed/>
  </w:style>
  <w:style w:type="numbering" w:styleId="1057" w:default="1">
    <w:name w:val="No List"/>
    <w:uiPriority w:val="99"/>
    <w:semiHidden/>
    <w:unhideWhenUsed/>
  </w:style>
  <w:style w:type="table" w:styleId="105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3</cp:revision>
  <dcterms:created xsi:type="dcterms:W3CDTF">2026-02-25T04:47:00Z</dcterms:created>
  <dcterms:modified xsi:type="dcterms:W3CDTF">2026-04-20T09:56:07Z</dcterms:modified>
  <cp:version>1048576</cp:version>
</cp:coreProperties>
</file>