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2"/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  <w:t xml:space="preserve">ДЕ</w:t>
      </w:r>
      <w:r>
        <w:rPr>
          <w:rFonts w:ascii="PT Astra Serif" w:hAnsi="PT Astra Serif"/>
          <w:highlight w:val="none"/>
        </w:rPr>
        <w:t xml:space="preserve">ПАРТАМЕНТ</w:t>
      </w:r>
      <w:r>
        <w:rPr>
          <w:rFonts w:ascii="PT Astra Serif" w:hAnsi="PT Astra Serif"/>
          <w:highlight w:val="none"/>
        </w:rPr>
        <w:t xml:space="preserve">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highlight w:val="none"/>
        </w:rPr>
      </w:r>
    </w:p>
    <w:p>
      <w:pPr>
        <w:pStyle w:val="603"/>
        <w:tabs>
          <w:tab w:val="right" w:pos="9930" w:leader="none"/>
        </w:tabs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highlight w:val="none"/>
        </w:rPr>
      </w:r>
    </w:p>
    <w:p>
      <w:pPr>
        <w:pStyle w:val="603"/>
        <w:tabs>
          <w:tab w:val="right" w:pos="9930" w:leader="none"/>
        </w:tabs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highlight w:val="none"/>
        </w:rPr>
      </w:r>
    </w:p>
    <w:p>
      <w:pPr>
        <w:pStyle w:val="603"/>
        <w:tabs>
          <w:tab w:val="right" w:pos="9930" w:leader="none"/>
        </w:tabs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highlight w:val="none"/>
        </w:rPr>
      </w:r>
    </w:p>
    <w:tbl>
      <w:tblPr>
        <w:tblW w:w="10218" w:type="dxa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30"/>
        <w:gridCol w:w="8234"/>
        <w:gridCol w:w="1559"/>
        <w:gridCol w:w="130"/>
        <w:gridCol w:w="132"/>
        <w:gridCol w:w="33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34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29.01.2026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tabs>
                <w:tab w:val="right" w:pos="9930" w:leader="none"/>
              </w:tabs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№</w:t>
            </w:r>
            <w:r>
              <w:rPr>
                <w:rFonts w:ascii="PT Astra Serif" w:hAnsi="PT Astra Serif"/>
                <w:highlight w:val="none"/>
              </w:rPr>
              <w:t xml:space="preserve"> 8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gridAfter w:val="1"/>
          <w:trHeight w:val="888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О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 внесении изменени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я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 в распоряжение Департамента ветеринарии 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br w:type="textWrapping" w:clear="all"/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Томской области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от 16.02.2024 № 48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628"/>
        <w:spacing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41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В соответствии с постановлением Администрации Томской области от 05.09.2019 № 313а «Об утверждении Порядка принятия решений о разработке государственных программ Томской области, их формирования и реализации»</w:t>
      </w:r>
      <w:r>
        <w:rPr>
          <w:rFonts w:ascii="PT Astra Serif" w:hAnsi="PT Astra Serif"/>
          <w:sz w:val="26"/>
          <w:szCs w:val="26"/>
          <w:highlight w:val="none"/>
        </w:rPr>
        <w:t xml:space="preserve"> внести изменение</w:t>
        <w:br w:type="textWrapping" w:clear="all"/>
        <w:t xml:space="preserve">в распоряжение Департамента ветеринарии Томской области от 16.02.2024 № 48</w:t>
      </w:r>
      <w:r>
        <w:rPr>
          <w:rFonts w:ascii="PT Astra Serif" w:hAnsi="PT Astra Serif"/>
          <w:sz w:val="26"/>
          <w:szCs w:val="26"/>
          <w:highlight w:val="none"/>
        </w:rPr>
        <w:br w:type="textWrapping" w:clear="all"/>
        <w:t xml:space="preserve">«Об утверждении паспорта комплекса процессных мероприятий «Защита животных</w:t>
        <w:br w:type="textWrapping" w:clear="all"/>
        <w:t xml:space="preserve">от болезней, защита населения от болезней, общих для человека и животных»</w:t>
      </w:r>
      <w:r>
        <w:rPr>
          <w:rFonts w:ascii="PT Astra Serif" w:hAnsi="PT Astra Serif"/>
          <w:sz w:val="26"/>
          <w:szCs w:val="26"/>
          <w:highlight w:val="none"/>
        </w:rPr>
        <w:t xml:space="preserve">, изложив </w:t>
      </w:r>
      <w:r>
        <w:rPr>
          <w:rFonts w:ascii="PT Astra Serif" w:hAnsi="PT Astra Serif"/>
          <w:sz w:val="26"/>
          <w:szCs w:val="26"/>
          <w:highlight w:val="none"/>
        </w:rPr>
        <w:t xml:space="preserve">паспорт комплекса процессных мероприятий «Защита животных</w:t>
        <w:br w:type="textWrapping" w:clear="all"/>
        <w:t xml:space="preserve">от болезней, защита населения от болезней, общих для человека и животных»</w:t>
      </w:r>
      <w:r>
        <w:rPr>
          <w:rFonts w:ascii="PT Astra Serif" w:hAnsi="PT Astra Serif"/>
          <w:sz w:val="26"/>
          <w:szCs w:val="26"/>
          <w:highlight w:val="none"/>
        </w:rPr>
        <w:t xml:space="preserve"> в новой редакции согласно приложению к настоящему распоряжению.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28"/>
        <w:ind w:firstLine="840"/>
        <w:spacing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28"/>
        <w:ind w:firstLine="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28"/>
        <w:ind w:firstLine="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28"/>
        <w:ind w:firstLine="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И.о. н</w:t>
      </w:r>
      <w:r>
        <w:rPr>
          <w:rFonts w:ascii="PT Astra Serif" w:hAnsi="PT Astra Serif"/>
          <w:sz w:val="26"/>
          <w:szCs w:val="26"/>
          <w:highlight w:val="none"/>
        </w:rPr>
        <w:t xml:space="preserve">ачальник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а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департамента</w:t>
      </w:r>
      <w:r>
        <w:rPr>
          <w:rFonts w:ascii="PT Astra Serif" w:hAnsi="PT Astra Serif"/>
          <w:sz w:val="26"/>
          <w:szCs w:val="26"/>
          <w:highlight w:val="none"/>
        </w:rPr>
        <w:tab/>
      </w:r>
      <w:r>
        <w:rPr>
          <w:rFonts w:ascii="PT Astra Serif" w:hAnsi="PT Astra Serif"/>
          <w:sz w:val="26"/>
          <w:szCs w:val="26"/>
          <w:highlight w:val="none"/>
        </w:rPr>
        <w:t xml:space="preserve">   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      </w:t>
      </w:r>
      <w:r>
        <w:rPr>
          <w:rFonts w:ascii="PT Astra Serif" w:hAnsi="PT Astra Serif"/>
          <w:sz w:val="26"/>
          <w:szCs w:val="26"/>
          <w:highlight w:val="none"/>
        </w:rPr>
        <w:tab/>
        <w:tab/>
      </w:r>
      <w:r>
        <w:rPr>
          <w:rFonts w:ascii="PT Astra Serif" w:hAnsi="PT Astra Serif"/>
          <w:sz w:val="26"/>
          <w:szCs w:val="26"/>
          <w:highlight w:val="none"/>
        </w:rPr>
        <w:t xml:space="preserve">    </w:t>
      </w:r>
      <w:r>
        <w:rPr>
          <w:rFonts w:ascii="PT Astra Serif" w:hAnsi="PT Astra Serif"/>
          <w:sz w:val="26"/>
          <w:szCs w:val="26"/>
          <w:highlight w:val="none"/>
        </w:rPr>
        <w:t xml:space="preserve">            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           </w:t>
      </w:r>
      <w:r>
        <w:rPr>
          <w:rFonts w:ascii="PT Astra Serif" w:hAnsi="PT Astra Serif"/>
          <w:sz w:val="26"/>
          <w:szCs w:val="26"/>
          <w:highlight w:val="none"/>
        </w:rPr>
        <w:t xml:space="preserve">  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     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      Е</w:t>
      </w:r>
      <w:r>
        <w:rPr>
          <w:rFonts w:ascii="PT Astra Serif" w:hAnsi="PT Astra Serif"/>
          <w:sz w:val="26"/>
          <w:szCs w:val="26"/>
          <w:highlight w:val="none"/>
        </w:rPr>
        <w:t xml:space="preserve">.В.</w:t>
      </w:r>
      <w:r>
        <w:rPr>
          <w:rFonts w:ascii="PT Astra Serif" w:hAnsi="PT Astra Serif"/>
          <w:sz w:val="26"/>
          <w:szCs w:val="26"/>
          <w:highlight w:val="none"/>
        </w:rPr>
        <w:t xml:space="preserve"> 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Гынгазова</w:t>
      </w:r>
      <w:r>
        <w:rPr>
          <w:rFonts w:ascii="PT Astra Serif" w:hAnsi="PT Astra Serif"/>
          <w:sz w:val="26"/>
          <w:szCs w:val="26"/>
          <w:highlight w:val="none"/>
          <w:lang w:val="ru-RU"/>
        </w:rPr>
      </w:r>
      <w:r>
        <w:rPr>
          <w:highlight w:val="none"/>
        </w:rPr>
      </w:r>
    </w:p>
    <w:p>
      <w:pPr>
        <w:pStyle w:val="603"/>
        <w:ind w:firstLine="709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  <w:sectPr>
          <w:footnotePr/>
          <w:endnotePr/>
          <w:type w:val="nextPage"/>
          <w:pgSz w:w="11906" w:h="16838" w:orient="portrait"/>
          <w:pgMar w:top="1134" w:right="822" w:bottom="851" w:left="1134" w:header="709" w:footer="709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16"/>
          <w:szCs w:val="16"/>
          <w:highlight w:val="none"/>
        </w:rPr>
        <w:t xml:space="preserve">А.В.Кривенко</w:t>
      </w:r>
      <w:r>
        <w:rPr>
          <w:rFonts w:ascii="PT Astra Serif" w:hAnsi="PT Astra Serif"/>
          <w:sz w:val="16"/>
          <w:szCs w:val="16"/>
          <w:highlight w:val="none"/>
        </w:rPr>
      </w:r>
      <w:r>
        <w:rPr>
          <w:rFonts w:ascii="PT Astra Serif" w:hAnsi="PT Astra Serif"/>
          <w:sz w:val="16"/>
          <w:szCs w:val="16"/>
          <w:highlight w:val="none"/>
        </w:rPr>
      </w:r>
    </w:p>
    <w:p>
      <w:pPr>
        <w:pStyle w:val="603"/>
        <w:contextualSpacing/>
        <w:ind w:left="9923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Приложение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03"/>
        <w:contextualSpacing/>
        <w:ind w:left="9923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к распоряжению Департамента ветеринарии Томкой области </w:t>
      </w:r>
      <w:r>
        <w:rPr>
          <w:highlight w:val="none"/>
        </w:rPr>
      </w:r>
    </w:p>
    <w:p>
      <w:pPr>
        <w:pStyle w:val="603"/>
        <w:contextualSpacing/>
        <w:ind w:left="9923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от 29.01.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202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6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№ 8</w:t>
      </w:r>
      <w:r>
        <w:rPr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contextualSpacing/>
        <w:ind w:left="9923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603"/>
        <w:contextualSpacing/>
        <w:ind w:left="9923"/>
        <w:jc w:val="left"/>
        <w:rPr>
          <w:rFonts w:ascii="PT Astra Serif" w:hAnsi="PT Astra Serif" w:cs="PT Astra Serif"/>
          <w:szCs w:val="28"/>
          <w:highlight w:val="none"/>
        </w:rPr>
      </w:pPr>
      <w:r>
        <w:rPr>
          <w:rFonts w:ascii="PT Astra Serif" w:hAnsi="PT Astra Serif" w:cs="PT Astra Serif"/>
          <w:szCs w:val="28"/>
          <w:highlight w:val="none"/>
        </w:rPr>
      </w:r>
      <w:r>
        <w:rPr>
          <w:highlight w:val="none"/>
        </w:rPr>
      </w:r>
    </w:p>
    <w:p>
      <w:pPr>
        <w:pStyle w:val="603"/>
        <w:contextualSpacing/>
        <w:jc w:val="right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p>
      <w:pPr>
        <w:pStyle w:val="603"/>
        <w:contextualSpacing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  <w:t xml:space="preserve">ПАСПОРТ </w:t>
      </w:r>
      <w:r>
        <w:rPr>
          <w:highlight w:val="none"/>
        </w:rPr>
      </w:r>
    </w:p>
    <w:p>
      <w:pPr>
        <w:pStyle w:val="603"/>
        <w:contextualSpacing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  <w:t xml:space="preserve">Комплекса процессных мероприятий</w:t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sz w:val="24"/>
          <w:highlight w:val="none"/>
          <w:u w:val="single"/>
        </w:rPr>
      </w:pPr>
      <w:r>
        <w:rPr>
          <w:rFonts w:ascii="PT Astra Serif" w:hAnsi="PT Astra Serif"/>
          <w:sz w:val="22"/>
          <w:szCs w:val="22"/>
          <w:highlight w:val="none"/>
          <w:u w:val="single"/>
        </w:rPr>
        <w:t xml:space="preserve"> </w:t>
      </w:r>
      <w:r>
        <w:rPr>
          <w:rFonts w:ascii="PT Astra Serif" w:hAnsi="PT Astra Serif"/>
          <w:sz w:val="24"/>
          <w:highlight w:val="none"/>
          <w:u w:val="single"/>
        </w:rPr>
        <w:t xml:space="preserve">Защита животных от болезней, защита населения от болезней, общих для человека и животных </w:t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  <w:t xml:space="preserve">(наименование)</w:t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tbl>
      <w:tblPr>
        <w:tblW w:w="15307" w:type="dxa"/>
        <w:jc w:val="center"/>
        <w:tblInd w:w="-5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6056"/>
        <w:gridCol w:w="9251"/>
      </w:tblGrid>
      <w:tr>
        <w:trPr/>
        <w:tc>
          <w:tcPr>
            <w:tcW w:w="60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Ответственный за выполнение комплекса процессных мероприятий</w:t>
            </w:r>
            <w:r>
              <w:rPr>
                <w:highlight w:val="none"/>
              </w:rPr>
            </w:r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</w:tr>
      <w:tr>
        <w:trPr>
          <w:trHeight w:val="302"/>
        </w:trPr>
        <w:tc>
          <w:tcPr>
            <w:tcW w:w="60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Связь с государственной программой</w:t>
            </w:r>
            <w:r>
              <w:rPr>
                <w:highlight w:val="none"/>
              </w:rPr>
            </w:r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Государственная программа «</w:t>
            </w: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Развитие сельского хозяйства, рынков сырья и продовольствия в Томской области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»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W w:w="60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highlight w:val="none"/>
              </w:rPr>
            </w:r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ind w:firstLine="21"/>
              <w:jc w:val="left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Подпрограмма (направление) «</w:t>
            </w: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Развитие сельскохозяйственного производства в Томской области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»</w:t>
            </w:r>
            <w:r>
              <w:rPr>
                <w:highlight w:val="none"/>
              </w:rPr>
            </w:r>
          </w:p>
        </w:tc>
      </w:tr>
    </w:tbl>
    <w:p>
      <w:pPr>
        <w:pStyle w:val="603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sz w:val="24"/>
          <w:highlight w:val="none"/>
          <w:vertAlign w:val="superscript"/>
        </w:rPr>
      </w:pPr>
      <w:r>
        <w:rPr>
          <w:rFonts w:ascii="PT Astra Serif" w:hAnsi="PT Astra Serif"/>
          <w:b/>
          <w:sz w:val="24"/>
          <w:highlight w:val="none"/>
        </w:rPr>
        <w:t xml:space="preserve">Показатели комплекса процессных мероприятий</w:t>
      </w:r>
      <w:r>
        <w:rPr>
          <w:rFonts w:ascii="PT Astra Serif" w:hAnsi="PT Astra Serif"/>
          <w:b/>
          <w:sz w:val="24"/>
          <w:highlight w:val="none"/>
          <w:vertAlign w:val="superscript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tbl>
      <w:tblPr>
        <w:tblpPr w:horzAnchor="text" w:tblpXSpec="center" w:vertAnchor="text" w:tblpY="1" w:leftFromText="180" w:topFromText="0" w:rightFromText="180" w:bottomFromText="0"/>
        <w:tblW w:w="15218" w:type="dxa"/>
        <w:jc w:val="center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476"/>
        <w:gridCol w:w="2268"/>
        <w:gridCol w:w="1842"/>
        <w:gridCol w:w="1701"/>
        <w:gridCol w:w="2268"/>
        <w:gridCol w:w="1560"/>
        <w:gridCol w:w="850"/>
        <w:gridCol w:w="851"/>
        <w:gridCol w:w="850"/>
        <w:gridCol w:w="851"/>
        <w:gridCol w:w="850"/>
        <w:gridCol w:w="851"/>
      </w:tblGrid>
      <w:tr>
        <w:trPr>
          <w:cantSplit/>
          <w:trHeight w:val="245"/>
        </w:trPr>
        <w:tc>
          <w:tcPr>
            <w:tcW w:w="4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№ п/п</w:t>
            </w:r>
            <w:r>
              <w:rPr>
                <w:highlight w:val="none"/>
              </w:rPr>
            </w:r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Наименование показателя</w:t>
            </w:r>
            <w:r>
              <w:rPr>
                <w:highlight w:val="none"/>
              </w:rPr>
            </w:r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Уровень достижения показателя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Признак возрастания/ убывания</w:t>
            </w:r>
            <w:r>
              <w:rPr>
                <w:highlight w:val="none"/>
              </w:rPr>
            </w:r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Ответственный за достижение показателя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Единица измерения (по ОКЕИ)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Базовое значение 2023 год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2024 год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2025 </w:t>
            </w:r>
            <w:r>
              <w:rPr>
                <w:highlight w:val="none"/>
              </w:rPr>
            </w:r>
          </w:p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год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2026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 </w:t>
            </w:r>
            <w:r>
              <w:rPr>
                <w:highlight w:val="none"/>
              </w:rPr>
            </w:r>
          </w:p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год</w:t>
            </w:r>
            <w:r>
              <w:rPr>
                <w:highlight w:val="none"/>
              </w:rPr>
            </w:r>
          </w:p>
        </w:tc>
        <w:tc>
          <w:tcPr>
            <w:gridSpan w:val="2"/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Планируемое значение показателя (показателя задачи) 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244"/>
        </w:trPr>
        <w:tc>
          <w:tcPr>
            <w:tcW w:w="4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5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 год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8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 год</w:t>
            </w:r>
            <w:r>
              <w:rPr>
                <w:highlight w:val="none"/>
              </w:rPr>
            </w:r>
          </w:p>
        </w:tc>
      </w:tr>
      <w:tr>
        <w:trPr>
          <w:trHeight w:val="244"/>
        </w:trPr>
        <w:tc>
          <w:tcPr>
            <w:tcW w:w="4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gridSpan w:val="11"/>
            <w:tcW w:w="1474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Задача «Реализация мероприятий по защите животных от болезней, защите населения от болезней, общих для человека и животных»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W w:w="476" w:type="dxa"/>
            <w:vAlign w:val="center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1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Количество случаев возникновения эпизоотий на территории Томской области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ГП, КПМ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Убывающий</w:t>
            </w:r>
            <w:r>
              <w:rPr>
                <w:highlight w:val="none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Единица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</w:t>
            </w:r>
            <w:r>
              <w:rPr>
                <w:highlight w:val="none"/>
              </w:rPr>
            </w:r>
          </w:p>
        </w:tc>
      </w:tr>
    </w:tbl>
    <w:p>
      <w:pPr>
        <w:pStyle w:val="603"/>
        <w:jc w:val="center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i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  <w:t xml:space="preserve">План достижения показателей комплекса процессных мероприятий</w:t>
      </w:r>
      <w:r>
        <w:rPr>
          <w:rFonts w:ascii="PT Astra Serif" w:hAnsi="PT Astra Serif"/>
          <w:b/>
          <w:sz w:val="24"/>
          <w:highlight w:val="none"/>
        </w:rPr>
        <w:br w:type="textWrapping" w:clear="all"/>
        <w:t xml:space="preserve">в </w:t>
      </w:r>
      <w:r>
        <w:rPr>
          <w:rFonts w:ascii="PT Astra Serif" w:hAnsi="PT Astra Serif"/>
          <w:b/>
          <w:sz w:val="24"/>
          <w:highlight w:val="none"/>
        </w:rPr>
        <w:t xml:space="preserve">202</w:t>
      </w:r>
      <w:r>
        <w:rPr>
          <w:rFonts w:ascii="PT Astra Serif" w:hAnsi="PT Astra Serif"/>
          <w:b/>
          <w:sz w:val="24"/>
          <w:highlight w:val="none"/>
        </w:rPr>
        <w:t xml:space="preserve">6</w:t>
      </w:r>
      <w:r>
        <w:rPr>
          <w:rFonts w:ascii="PT Astra Serif" w:hAnsi="PT Astra Serif"/>
          <w:b/>
          <w:sz w:val="24"/>
          <w:highlight w:val="none"/>
        </w:rPr>
        <w:t xml:space="preserve"> финансовом году </w:t>
      </w:r>
      <w:r>
        <w:rPr>
          <w:rFonts w:ascii="PT Astra Serif" w:hAnsi="PT Astra Serif"/>
          <w:b/>
          <w:i/>
          <w:sz w:val="24"/>
          <w:highlight w:val="none"/>
        </w:rPr>
      </w:r>
      <w:r>
        <w:rPr>
          <w:highlight w:val="none"/>
        </w:rPr>
      </w:r>
    </w:p>
    <w:p>
      <w:pPr>
        <w:pStyle w:val="648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tbl>
      <w:tblPr>
        <w:tblW w:w="15371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4"/>
        <w:gridCol w:w="3467"/>
        <w:gridCol w:w="1276"/>
        <w:gridCol w:w="851"/>
        <w:gridCol w:w="708"/>
        <w:gridCol w:w="709"/>
        <w:gridCol w:w="709"/>
        <w:gridCol w:w="850"/>
        <w:gridCol w:w="709"/>
        <w:gridCol w:w="709"/>
        <w:gridCol w:w="709"/>
        <w:gridCol w:w="850"/>
        <w:gridCol w:w="851"/>
        <w:gridCol w:w="992"/>
        <w:gridCol w:w="1417"/>
      </w:tblGrid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№ п/п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Наименование показателя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Единица измерения</w:t>
            </w:r>
            <w:r>
              <w:rPr>
                <w:highlight w:val="none"/>
              </w:rPr>
            </w:r>
          </w:p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(по ОКЕИ)</w:t>
            </w:r>
            <w:r>
              <w:rPr>
                <w:highlight w:val="none"/>
              </w:rPr>
            </w:r>
          </w:p>
        </w:tc>
        <w:tc>
          <w:tcPr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4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Плановые значения на конец месяца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 конец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года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янв.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февр.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март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апр.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май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июнь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июль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авг.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сен.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окт.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ноя.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highlight w:val="none"/>
              </w:rPr>
              <w:t xml:space="preserve">Количество случаев возникновения эпизоотий на территории Томской области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Единица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603"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  <w:br w:type="textWrapping" w:clear="all"/>
      </w:r>
      <w:r>
        <w:rPr>
          <w:rFonts w:ascii="PT Astra Serif" w:hAnsi="PT Astra Serif"/>
          <w:b/>
          <w:sz w:val="24"/>
          <w:highlight w:val="none"/>
        </w:rPr>
        <w:t xml:space="preserve">Перечень мероприятий комплекса процессных мероприятий</w:t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</w:r>
      <w:r>
        <w:rPr>
          <w:highlight w:val="none"/>
        </w:rPr>
      </w:r>
    </w:p>
    <w:tbl>
      <w:tblPr>
        <w:tblpPr w:horzAnchor="text" w:tblpX="-73" w:vertAnchor="text" w:tblpY="1" w:leftFromText="180" w:topFromText="0" w:rightFromText="180" w:bottomFromText="0"/>
        <w:tblW w:w="15359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617"/>
        <w:gridCol w:w="1985"/>
        <w:gridCol w:w="1701"/>
        <w:gridCol w:w="1984"/>
        <w:gridCol w:w="1985"/>
        <w:gridCol w:w="1134"/>
        <w:gridCol w:w="1134"/>
        <w:gridCol w:w="850"/>
        <w:gridCol w:w="993"/>
        <w:gridCol w:w="850"/>
        <w:gridCol w:w="1134"/>
        <w:gridCol w:w="992"/>
      </w:tblGrid>
      <w:tr>
        <w:trPr>
          <w:cantSplit/>
          <w:trHeight w:val="334"/>
        </w:trPr>
        <w:tc>
          <w:tcPr>
            <w:tcW w:w="6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№ п/п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Наименование мероприятия (результата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Тип мероприятия (результата)</w:t>
            </w:r>
            <w:r>
              <w:rPr>
                <w:highlight w:val="none"/>
              </w:rPr>
            </w:r>
          </w:p>
        </w:tc>
        <w:tc>
          <w:tcPr>
            <w:tcW w:w="198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  <w:vertAlign w:val="superscript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sz w:val="24"/>
                <w:highlight w:val="none"/>
                <w:vertAlign w:val="superscript"/>
              </w:rPr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Наименование показателя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Единица измерения (по ОКЕИ)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Базовое значение 2023 год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2024</w:t>
            </w:r>
            <w:r>
              <w:rPr>
                <w:highlight w:val="none"/>
              </w:rPr>
            </w:r>
          </w:p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год</w:t>
            </w:r>
            <w:r>
              <w:rPr>
                <w:highlight w:val="none"/>
              </w:rPr>
            </w:r>
          </w:p>
        </w:tc>
        <w:tc>
          <w:tcPr>
            <w:tcW w:w="99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2025 </w:t>
            </w:r>
            <w:r>
              <w:rPr>
                <w:highlight w:val="none"/>
              </w:rPr>
            </w:r>
          </w:p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год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6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 </w:t>
            </w:r>
            <w:r>
              <w:rPr>
                <w:highlight w:val="none"/>
              </w:rPr>
            </w:r>
          </w:p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год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gridSpan w:val="2"/>
            <w:tcW w:w="212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Планируемое значение показателя мероприятия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332"/>
        </w:trPr>
        <w:tc>
          <w:tcPr>
            <w:tcW w:w="6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7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год</w:t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8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год</w:t>
            </w:r>
            <w:r>
              <w:rPr>
                <w:highlight w:val="none"/>
              </w:rPr>
            </w:r>
          </w:p>
        </w:tc>
      </w:tr>
      <w:tr>
        <w:trPr>
          <w:trHeight w:val="1458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1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Мероприятие 1.  Оказание государственных услуг (выполнение государственных работ) в сфере защиты животных от болезней, защиты населения от болезней, общих для человека и животных, 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областными государственными 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автономными учреждениями, подведомственными Департаменту ветеринарии Томской области, в соответствии с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 государственным заданием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Оказание услуг (выполнение работ)</w:t>
            </w:r>
            <w:r>
              <w:rPr>
                <w:highlight w:val="none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Оказание государственных услуг (выполнение государственных работ) в соответствии с государственным заданием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Количество государственных услуг (работ),  выполненных в полном объеме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Единица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5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5</w:t>
            </w:r>
            <w:r>
              <w:rPr>
                <w:highlight w:val="none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6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6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6</w:t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6</w:t>
            </w:r>
            <w:r>
              <w:rPr>
                <w:highlight w:val="none"/>
              </w:rPr>
            </w:r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2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Мероприятие 2.  Материальное обеспечение противоэпизоотических мероприятий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Приобретение товаров, работ, услуг</w:t>
            </w:r>
            <w:r>
              <w:rPr>
                <w:highlight w:val="none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Приобретение материальных запасов и услуг на основании сметы расходов на проведение противоэпизоотических мероприятий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Количество учреждений, обеспеченных материалами, медикаментами и биопрепаратами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Единица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16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16</w:t>
            </w:r>
            <w:r>
              <w:rPr>
                <w:highlight w:val="none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16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16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1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6</w:t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16</w:t>
            </w:r>
            <w:r>
              <w:rPr>
                <w:highlight w:val="none"/>
              </w:rPr>
            </w:r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3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Мероприятие 3.  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Cs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bCs/>
                <w:sz w:val="24"/>
                <w:highlight w:val="none"/>
              </w:rPr>
              <w:t xml:space="preserve">Выплаты физическим лицам</w:t>
            </w:r>
            <w:r>
              <w:rPr>
                <w:highlight w:val="none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bCs/>
                <w:sz w:val="24"/>
                <w:highlight w:val="none"/>
              </w:rPr>
              <w:t xml:space="preserve">Предоставление меры социальной поддержки в виде 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 единовременной денежной выплаты </w:t>
            </w:r>
            <w:r>
              <w:rPr>
                <w:rFonts w:ascii="PT Astra Serif" w:hAnsi="PT Astra Serif"/>
                <w:bCs/>
                <w:sz w:val="24"/>
                <w:highlight w:val="none"/>
              </w:rPr>
              <w:t xml:space="preserve">молодым специалистам в области ветеринарии, являющимся работниками учреждений Государственной ветеринарной службы Томской области, при трудоустройстве в сельской местности на территории Томской области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, в соответствии с Законом Томской области от 12.10.2005 № 182-ОЗ «Об обеспечении эпизоотического и ветеринарно-санитарного благополучия в Томской области» (в редакции Закона Томской области от 12.04.2023 № 31-ОЗ)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Количество молодых специалистов в области ветеринарии,  являющихся работниками учреждений Государственной ветеринарной службы Томской области, получивших единовременную денежную выплату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Человек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-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13</w:t>
            </w:r>
            <w:r>
              <w:rPr>
                <w:highlight w:val="none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6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6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6</w:t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6</w:t>
            </w:r>
            <w:r>
              <w:rPr>
                <w:highlight w:val="none"/>
              </w:rPr>
            </w:r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4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Мероприятие 4.  Финансовое обеспечение реализации мероприятий региональной программы «Развитие Государственной ветеринарной службы Томской области»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Приобретение товаров, работ, услуг</w:t>
            </w:r>
            <w:r>
              <w:rPr>
                <w:highlight w:val="none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Cs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Приобретение транспортных средств (прицепов) для обустройства мест утилизации  биологических отходов путем сжигания и лодочного мотора для подведомственных учреждений</w:t>
            </w:r>
            <w:r>
              <w:rPr>
                <w:rFonts w:ascii="PT Astra Serif" w:hAnsi="PT Astra Serif"/>
                <w:bCs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Количество приобретенного оборудования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Единица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4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50</w:t>
            </w:r>
            <w:r>
              <w:rPr>
                <w:highlight w:val="none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3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-</w:t>
            </w:r>
            <w:r>
              <w:rPr>
                <w:highlight w:val="none"/>
              </w:rPr>
            </w:r>
          </w:p>
          <w:p>
            <w:pPr>
              <w:pStyle w:val="603"/>
              <w:ind w:firstLine="33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-</w:t>
            </w:r>
            <w:r>
              <w:rPr>
                <w:highlight w:val="none"/>
              </w:rPr>
            </w:r>
          </w:p>
        </w:tc>
      </w:tr>
      <w:tr>
        <w:trPr>
          <w:trHeight w:val="5530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5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Мероприятие 5. </w:t>
            </w:r>
            <w:r>
              <w:rPr>
                <w:rFonts w:ascii="PT Astra Serif" w:hAnsi="PT Astra Serif" w:eastAsia="PT Astra Serif"/>
                <w:sz w:val="24"/>
                <w:highlight w:val="none"/>
              </w:rPr>
              <w:t xml:space="preserve"> 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Финансовое обеспечение расходов по выполнению работ по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 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 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Обеспечение текущей деятельности</w:t>
            </w:r>
            <w:r>
              <w:rPr>
                <w:highlight w:val="none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Cs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Техническое присоединение</w:t>
              <w:br w:type="textWrapping" w:clear="all"/>
              <w:t xml:space="preserve">к газораспределительной сети зда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ний ветеринарного управления и гаража ОГАУ «Асиновское райветуправление», расположенных по адресу г. Асино, ул. Никитина, д. 31, и здания ветеринарной лаборатории ОГАУ «Асиновское райветуправление», расположенного по адресу г. Асино, ул. им. Ленина, д. 121</w:t>
            </w:r>
            <w:r>
              <w:rPr>
                <w:rFonts w:ascii="PT Astra Serif" w:hAnsi="PT Astra Serif"/>
                <w:bCs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Количество зданий, подключенных к сети газораспределения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Единица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-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3</w:t>
            </w:r>
            <w:r>
              <w:rPr>
                <w:highlight w:val="none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-</w:t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-</w:t>
            </w:r>
            <w:r>
              <w:rPr>
                <w:highlight w:val="none"/>
              </w:rPr>
            </w:r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6</w:t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Мероприятие 6.  </w:t>
            </w:r>
            <w:r>
              <w:rPr>
                <w:rFonts w:ascii="PT Astra Serif" w:hAnsi="PT Astra Serif"/>
                <w:sz w:val="24"/>
                <w:highlight w:val="none"/>
                <w:lang w:bidi="ar-SA"/>
              </w:rPr>
              <w:t xml:space="preserve"> Финансовое обеспечение расходов на выполнение работ по сбору, транспортировке, уничтожению путем сжигания биологических отходов на территории Томской области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Обеспечение текущей деятельности</w:t>
            </w:r>
            <w:r>
              <w:rPr>
                <w:highlight w:val="none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  <w:lang w:bidi="ar-SA"/>
              </w:rPr>
              <w:t xml:space="preserve">Выполнение работ по сбору, транспортировке, уничтожению путем сжигания биологических отходов:</w:t>
              <w:br w:type="textWrapping" w:clear="all"/>
              <w:t xml:space="preserve">1) владелец которых не установлен;</w:t>
            </w:r>
            <w:r>
              <w:rPr>
                <w:rFonts w:ascii="PT Astra Serif" w:hAnsi="PT Astra Serif"/>
                <w:sz w:val="24"/>
                <w:highlight w:val="none"/>
                <w:lang w:bidi="ar-SA"/>
              </w:rPr>
              <w:br/>
              <w:t xml:space="preserve">2) образовавшихся в:</w:t>
              <w:br/>
              <w:t xml:space="preserve">- эпизоотических очагах;</w:t>
              <w:br/>
              <w:t xml:space="preserve">- в результате чрезвычайных происшествий в личных подсобных хозяйствах, крестьянских (фермерских) хозяйствах;</w:t>
              <w:br/>
              <w:t xml:space="preserve">- в результате гибели диких животных на автомобильных дорогах и (или) в границах населенных пунктов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Количество уничтоженных биологических отходов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Килограмм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-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11 297</w:t>
            </w:r>
            <w:r>
              <w:rPr>
                <w:highlight w:val="none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12 000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19 300</w:t>
            </w:r>
            <w:r>
              <w:rPr>
                <w:rFonts w:ascii="PT Astra Serif" w:hAnsi="PT Astra Serif"/>
                <w:sz w:val="24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19 300</w:t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19 300</w:t>
            </w:r>
            <w:r>
              <w:rPr>
                <w:highlight w:val="none"/>
              </w:rPr>
            </w:r>
          </w:p>
        </w:tc>
      </w:tr>
    </w:tbl>
    <w:p>
      <w:pPr>
        <w:pStyle w:val="603"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  <w:t xml:space="preserve">Финансовое обеспечение комплекса процессных мероприятий</w:t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</w:r>
      <w:r>
        <w:rPr>
          <w:highlight w:val="none"/>
        </w:rPr>
      </w:r>
    </w:p>
    <w:tbl>
      <w:tblPr>
        <w:tblW w:w="15436" w:type="dxa"/>
        <w:jc w:val="center"/>
        <w:tblInd w:w="29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5656"/>
        <w:gridCol w:w="1900"/>
        <w:gridCol w:w="1560"/>
        <w:gridCol w:w="1501"/>
        <w:gridCol w:w="1701"/>
        <w:gridCol w:w="1559"/>
        <w:gridCol w:w="1559"/>
      </w:tblGrid>
      <w:tr>
        <w:trPr>
          <w:cantSplit/>
        </w:trPr>
        <w:tc>
          <w:tcPr>
            <w:tcW w:w="565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15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ind w:left="15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Наименование мероприятия  / источник финансового обеспечения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ГРБС</w:t>
            </w:r>
            <w:r>
              <w:rPr>
                <w:highlight w:val="none"/>
              </w:rPr>
            </w:r>
          </w:p>
        </w:tc>
        <w:tc>
          <w:tcPr>
            <w:gridSpan w:val="5"/>
            <w:tcW w:w="788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Объем финансового обеспечения (тыс. руб.)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2024 год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2025 год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2026 год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2027 год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2028 год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502"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Комплекс процессных мероприятий «Защита животных от болезней, защита населения от болезней, общих для человека и животных» (всего), в том числе: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331 462,8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347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  <w:lang w:val="en-US"/>
              </w:rPr>
              <w:t xml:space="preserve">5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2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7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367 532,4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367 532,4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367 532,4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331 462,8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347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  <w:highlight w:val="none"/>
                <w:lang w:val="en-US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367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532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367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532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367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532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/>
                <w:i/>
                <w:sz w:val="24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Мероприятие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 1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  «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Оказание государственных услуг (выполнение государственных рабо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т) в сфере защиты животных от болезней, защиты населения от болезней, общих для человека и животных, областными государственными автономными учреждениями, подведомственными Департаменту ветеринарии Томской области, в соответствии с государственным заданием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» (всего), в том числе: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290 177,7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334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105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357 275,3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357 275,3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357 275,3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290 177,7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334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105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275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275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275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/>
                <w:i/>
                <w:sz w:val="24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Мероприятие 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2 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«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Материальное обеспечение противоэпизоотических мероприятий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» (всего), в том числе: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428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5 2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  <w:lang w:val="en-US"/>
              </w:rPr>
              <w:t xml:space="preserve">5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7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5 257,1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5 257,1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5 257,1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6 428,6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5 2</w:t>
            </w:r>
            <w:r>
              <w:rPr>
                <w:rFonts w:ascii="PT Astra Serif" w:hAnsi="PT Astra Serif"/>
                <w:sz w:val="24"/>
                <w:szCs w:val="24"/>
                <w:highlight w:val="none"/>
                <w:lang w:val="en-US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5 257,1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5 257,1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5 257,1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Мероприятие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 3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 «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» (всего), в том числе: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5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00,0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3 000,0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3 000,0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3 000,0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3 000,0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3 000,0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3 000,0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3 000,0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3 000,0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Мероприятие 4 «Финансовое обеспечение реализации мероприятий региональной программы «Развитие Государственной ветеринарной службы Томской области» (всего), в том числе: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23 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838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8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924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23 8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924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Мероприятие 5 «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Финансовое обеспечение расходов по выполнению работ по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 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 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» (всего), в том числе: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3 070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9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1 990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3 0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9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1 990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Мероприятие 6 «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  <w:lang w:bidi="ar-SA"/>
              </w:rPr>
              <w:t xml:space="preserve">Финансовое обеспечение расходов на выполнение работ по сбору, транспортировке, уничтожению путем сжигания биологических отходов на территории Томской области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  <w:t xml:space="preserve">» (всего), в том числе:</w:t>
            </w:r>
            <w:r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/>
                <w:b/>
                <w:i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1 446,8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2 0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76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2 000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2 000,0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  <w:t xml:space="preserve">2 000,0</w:t>
            </w:r>
            <w:r>
              <w:rPr>
                <w:rFonts w:ascii="PT Astra Serif" w:hAnsi="PT Astra Serif"/>
                <w:b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1 446,8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76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2 00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2 000,0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2 000,0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</w:tbl>
    <w:p>
      <w:pPr>
        <w:pStyle w:val="603"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  <w:t xml:space="preserve">План реализации комплекса процессных мероприятий</w:t>
      </w:r>
      <w:r>
        <w:rPr>
          <w:highlight w:val="none"/>
        </w:rPr>
      </w:r>
    </w:p>
    <w:p>
      <w:pPr>
        <w:pStyle w:val="603"/>
        <w:ind w:left="34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tbl>
      <w:tblPr>
        <w:tblW w:w="15371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88"/>
        <w:gridCol w:w="3685"/>
        <w:gridCol w:w="2410"/>
        <w:gridCol w:w="2126"/>
        <w:gridCol w:w="510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№ п/п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Задача, мероприятие (результат)/контрольная точка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Дата наступления контрольной точки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Вид подтверждающего документа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Информационная система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(источник данных) 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Мероприятие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 «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Оказание государственных услуг (выполнение государственных рабо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т) в сфере защиты животных от болезней, защиты населения от болезней, общих для человека и животных, областными государственными автономными учреждениями, подведомственными Департаменту ветеринарии Томской области, в соответствии с государственным заданием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»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01.01.202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- 31.12.202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  <w:trHeight w:val="29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1.1.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1.1.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09.01.2024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Распоряжение (распоряжение Департамента ветеринарии Томской области)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bus.gov.ru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18.01.2028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1.2.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1.2. 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C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10.01.2024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Соглашение (с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оглашение о порядке предоставления субсидии на финансовое обеспечение выполнение государственного задания)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.2026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473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1.3.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1.3. Отчет о реализации мероприятия представлен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18.07.2024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об исполнении государств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енного задания за 6 месяцев 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года)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30.07.2025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об исполнении государственного задания за 6 месяцев 2025 года)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30.07.2026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об исполнении государственного задания за 6 месяцев 2026 года)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30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.07.2027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об исполнении государственного задания за 6 месяцев 2027 года)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.07.2028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об исполнении государственного задания за 6 месяцев 2028 года)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1.4.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1.4. Отчет о реализации мероприятия представлен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28.11.2024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(предварительный отчет об исполнении государственного задания в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году)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28.11.2025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(предварительный отчет об исполнении государственного задания в 2025 году)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30.11.2026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(предварительный отчет об исполнении государственного задания в 2026 году)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29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.11.2027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(предварительный отчет об исполнении государственного задания в 2027 году)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28.11.2028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(предварительный отчет об исполнении государственного задания в 2028 году)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1.5.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1.5.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07.03.2025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об исполнении государственного задания за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bus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ru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02.03.2026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об исполнении государственного задания за 2025 год)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об исполнении государственного задания за 2026 год)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18.02.2028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об исполнении государственного задания за 2027 год)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Мероприятие 2 «Материальное обеспечение противоэпизоотических мероприятий»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01.01.202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- 31.12.2028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2.1.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2.1.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30.01.2024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План-график закупок (план-график закупок, размещенный в Единой информационной системе)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zakupki.gov.ru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2.2.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2.2.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17.06.2024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Государственный контракт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20.06.2025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22.06.2026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17.06.2027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19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.06.2028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2.3.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2.3.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01.08.2024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Документ о приёмке товаров, выполненной работы, оказанной услуги, в том числе в электронной форме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01.08.2025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03.08.2026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02.08.2027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01.08.2028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2.4.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2.4.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01.10.2024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Платежное поручение (платежный документ)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05.11.2025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05.11.2026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05.11.2027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06.11.2028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Мероприятие 3 «Предоставление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области»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01.01.202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- 31.12.2028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3.1.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3.1. Документ утвержден (подписан)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09.01.2024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закон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18.02.2026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highlight w:val="yellow"/>
              </w:rPr>
            </w:pPr>
            <w:r>
              <w:rPr>
                <w:highlight w:val="yellow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18.02.2027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3.2.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3.2. Документ, устанавливающий условия осуществления выплат (в том числе размер и получателей), утвержден/принят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09.01.2024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Постановление (постановление Администрации Томской области от 18.12.2023 № 587а)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18.02.2026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18.02.2027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3.3.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3.3. Выплаты осуществлены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17.06.2024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Платежное поручение (платежный документ)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20.06.2025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22.06.2026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22.06.2027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22.06.2028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3.4.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3.4. Отчет о реализации мероприятия предоставлен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27.12.2024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предоставлении единовременной денежной выплаты за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26.12.2025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предоставлении единовременной денежной выплаты за 2025 год)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25.12.2026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предоставлении единовременной денежной выплаты за 2026 год)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.12.2027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предоставлении единовременной денежной выплаты за 2027 год)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.12.2028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предоставлении единовременной денежной выплаты за 2028 год)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Мероприятие 4 «Финансовое обеспечение реализации мероприятий региональной программы «Развитие Государственной ветеринарной службы Томской области»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01.01.202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- 31.12.202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5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6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4.1.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4.1.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01.03.2024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План-график закупок (план-график закупок, размещенный в Единой информационной системе)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  <w:trHeight w:val="6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01.03.2025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547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4.2.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4.2.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17.06.2024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Государственный контракт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  <w:trHeight w:val="547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20.06.2025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4.3.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4.3.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02.09.2024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Документ о приёмке товаров, выполненной работы, оказанной услуги, в том числе в электронной форме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02.09.2025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597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4.4.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4.4.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01.10.2024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Платежное поручение (платежный документ)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597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01.10.2025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Мероприятие 5 «Финансовое обеспечение расходов по выполнению работ по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области»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01.01.202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- 31.12.2025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681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5.1.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5.1. Документ утвержден (подписан)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09.01.2024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закон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  <w:trHeight w:val="681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14.03.2025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Постановление (постановление Администрации Томской области от 14.03.2025 № 105а «О внесении изменений в сводную бюджетную роспись областного бюджета на 2025 год и на плановый период 2026 и 2027 годов»)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677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5.2.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5.2. Документ разработан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01.03.2024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Приказ (приказ Департамента ветеринарии Томской области)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677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14.03.2025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609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5.3.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5.3. Соглашение о предоставлении из областного бюджета областным государственным автономным учреждениям субсидии на иные цели заключено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28.06.2024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Соглашение (соглашение о предоставлении из областного бюджета областным государственным автономным учреждениям субсидии на иные цели)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609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27.06.2025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5.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5.4. Отчет о реализации мероприятия предоставлен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27.12.2024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расходах, источником финансового обеспечения которых является субсидия за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26.12.2025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расходах, источником финансового обеспечения которых является субсидия за 2025 год)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Мероприятие 6 «Финансовое обеспечение расходов на выполнение работ по сбору, транспортировке, уничтожению путем сжигания биологических отходов на территории Томской области»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01.01.202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- 31.12.202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8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6.1.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6.1. Документ утвержден (подписан)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09.01.2024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закон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18.02.2026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18.02.2027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18.02.2028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6.2.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6.2. Документ разработан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01.03.2024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Приказ (приказ Департамента ветеринарии Томской области)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03.03.2025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03.03.2026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03.03.2027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03.03.2028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6.3.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6.3. Соглашение о предоставлении из областного бюджета областным государственным автономным учреждениям субсидии на иные цели заключено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01.04.2024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Соглашение (соглашение о предоставлении из областного бюджета областным государственным автономным учреждениям субсидии на иные цели)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01.05.2025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.05.202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6</w:t>
            </w:r>
            <w:r>
              <w:rPr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.05.202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7</w:t>
            </w:r>
            <w:r>
              <w:rPr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.05.202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8</w:t>
            </w:r>
            <w:r>
              <w:rPr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6.4.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6.4. Отчет о реализации мероприятия предоставлен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27.12.2024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расходах, источником финансового обеспечения которых является субсидия за 2024 год)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26.12.2025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расходах, источником финансового обеспечения которых является субсидия за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год) 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26.12.2026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расходах, источником финансового обеспечения которых является субсидия за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год) 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.12.2027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расходах, источником финансового обеспечения которых является субсидия за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год) 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.12.2028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Отчет (отчет о расходах, источником финансового обеспечения которых является субсидия за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год) 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</w:tbl>
    <w:p>
      <w:pPr>
        <w:pStyle w:val="603"/>
        <w:ind w:left="34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right"/>
        <w:rPr>
          <w:rFonts w:ascii="PT Astra Serif" w:hAnsi="PT Astra Serif"/>
          <w:szCs w:val="26"/>
          <w:highlight w:val="none"/>
        </w:rPr>
      </w:pPr>
      <w:r>
        <w:rPr>
          <w:rFonts w:ascii="PT Astra Serif" w:hAnsi="PT Astra Serif"/>
          <w:szCs w:val="26"/>
          <w:highlight w:val="none"/>
        </w:rPr>
      </w:r>
      <w:r>
        <w:rPr>
          <w:highlight w:val="none"/>
        </w:rPr>
      </w:r>
    </w:p>
    <w:p>
      <w:pPr>
        <w:pStyle w:val="603"/>
        <w:jc w:val="right"/>
        <w:rPr>
          <w:rFonts w:ascii="PT Astra Serif" w:hAnsi="PT Astra Serif"/>
          <w:szCs w:val="26"/>
          <w:highlight w:val="none"/>
        </w:rPr>
      </w:pPr>
      <w:r>
        <w:rPr>
          <w:rFonts w:ascii="PT Astra Serif" w:hAnsi="PT Astra Serif"/>
          <w:szCs w:val="26"/>
          <w:highlight w:val="none"/>
        </w:rPr>
      </w:r>
      <w:r>
        <w:rPr>
          <w:highlight w:val="none"/>
        </w:rPr>
      </w:r>
    </w:p>
    <w:p>
      <w:pPr>
        <w:pStyle w:val="603"/>
        <w:jc w:val="right"/>
        <w:rPr>
          <w:rFonts w:ascii="PT Astra Serif" w:hAnsi="PT Astra Serif"/>
          <w:szCs w:val="26"/>
          <w:highlight w:val="none"/>
        </w:rPr>
      </w:pPr>
      <w:r>
        <w:rPr>
          <w:rFonts w:ascii="PT Astra Serif" w:hAnsi="PT Astra Serif"/>
          <w:szCs w:val="26"/>
          <w:highlight w:val="none"/>
        </w:rPr>
      </w:r>
      <w:r>
        <w:rPr>
          <w:highlight w:val="none"/>
        </w:rPr>
      </w:r>
    </w:p>
    <w:p>
      <w:pPr>
        <w:pStyle w:val="603"/>
        <w:jc w:val="right"/>
        <w:rPr>
          <w:rFonts w:ascii="PT Astra Serif" w:hAnsi="PT Astra Serif"/>
          <w:szCs w:val="26"/>
          <w:highlight w:val="none"/>
        </w:rPr>
      </w:pPr>
      <w:r>
        <w:rPr>
          <w:rFonts w:ascii="PT Astra Serif" w:hAnsi="PT Astra Serif"/>
          <w:szCs w:val="26"/>
          <w:highlight w:val="none"/>
        </w:rPr>
      </w:r>
      <w:r>
        <w:rPr>
          <w:highlight w:val="none"/>
        </w:rPr>
      </w:r>
    </w:p>
    <w:p>
      <w:pPr>
        <w:pStyle w:val="603"/>
        <w:jc w:val="right"/>
        <w:rPr>
          <w:rFonts w:ascii="PT Astra Serif" w:hAnsi="PT Astra Serif"/>
          <w:szCs w:val="26"/>
          <w:highlight w:val="none"/>
        </w:rPr>
      </w:pPr>
      <w:r>
        <w:rPr>
          <w:rFonts w:ascii="PT Astra Serif" w:hAnsi="PT Astra Serif"/>
          <w:szCs w:val="26"/>
          <w:highlight w:val="none"/>
        </w:rPr>
      </w:r>
      <w:r>
        <w:rPr>
          <w:highlight w:val="none"/>
        </w:rPr>
      </w:r>
    </w:p>
    <w:p>
      <w:pPr>
        <w:pStyle w:val="603"/>
        <w:jc w:val="right"/>
        <w:rPr>
          <w:rFonts w:ascii="PT Astra Serif" w:hAnsi="PT Astra Serif"/>
          <w:szCs w:val="26"/>
          <w:highlight w:val="none"/>
        </w:rPr>
      </w:pPr>
      <w:r>
        <w:rPr>
          <w:rFonts w:ascii="PT Astra Serif" w:hAnsi="PT Astra Serif"/>
          <w:szCs w:val="26"/>
          <w:highlight w:val="none"/>
        </w:rPr>
      </w:r>
      <w:r>
        <w:rPr>
          <w:highlight w:val="none"/>
        </w:rPr>
      </w:r>
    </w:p>
    <w:p>
      <w:pPr>
        <w:pStyle w:val="603"/>
        <w:jc w:val="right"/>
        <w:rPr>
          <w:rFonts w:ascii="PT Astra Serif" w:hAnsi="PT Astra Serif"/>
          <w:szCs w:val="26"/>
          <w:highlight w:val="none"/>
        </w:rPr>
      </w:pPr>
      <w:r>
        <w:rPr>
          <w:rFonts w:ascii="PT Astra Serif" w:hAnsi="PT Astra Serif"/>
          <w:szCs w:val="26"/>
          <w:highlight w:val="none"/>
        </w:rPr>
      </w:r>
      <w:r>
        <w:rPr>
          <w:highlight w:val="none"/>
        </w:rPr>
      </w:r>
    </w:p>
    <w:p>
      <w:pPr>
        <w:pStyle w:val="603"/>
        <w:jc w:val="right"/>
        <w:rPr>
          <w:rFonts w:ascii="PT Astra Serif" w:hAnsi="PT Astra Serif"/>
          <w:szCs w:val="26"/>
          <w:highlight w:val="none"/>
        </w:rPr>
      </w:pPr>
      <w:r>
        <w:rPr>
          <w:rFonts w:ascii="PT Astra Serif" w:hAnsi="PT Astra Serif"/>
          <w:szCs w:val="26"/>
          <w:highlight w:val="none"/>
        </w:rPr>
      </w:r>
      <w:r>
        <w:rPr>
          <w:highlight w:val="none"/>
        </w:rPr>
      </w:r>
    </w:p>
    <w:p>
      <w:pPr>
        <w:pStyle w:val="603"/>
        <w:jc w:val="right"/>
        <w:rPr>
          <w:rFonts w:ascii="PT Astra Serif" w:hAnsi="PT Astra Serif"/>
          <w:szCs w:val="26"/>
          <w:highlight w:val="none"/>
        </w:rPr>
      </w:pPr>
      <w:r>
        <w:rPr>
          <w:rFonts w:ascii="PT Astra Serif" w:hAnsi="PT Astra Serif"/>
          <w:szCs w:val="26"/>
          <w:highlight w:val="none"/>
        </w:rPr>
      </w:r>
      <w:r>
        <w:rPr>
          <w:highlight w:val="none"/>
        </w:rPr>
      </w:r>
    </w:p>
    <w:p>
      <w:pPr>
        <w:pStyle w:val="603"/>
        <w:contextualSpacing/>
        <w:jc w:val="center"/>
        <w:rPr>
          <w:rFonts w:ascii="PT Astra Serif" w:hAnsi="PT Astra Serif"/>
          <w:b/>
          <w:sz w:val="24"/>
          <w:highlight w:val="none"/>
        </w:rPr>
      </w:pPr>
      <w:r>
        <w:rPr>
          <w:rFonts w:ascii="PT Astra Serif" w:hAnsi="PT Astra Serif"/>
          <w:b/>
          <w:sz w:val="24"/>
          <w:highlight w:val="none"/>
        </w:rPr>
        <w:t xml:space="preserve">Сводная информация об объемах государственных услуг (работ), оказываемых (</w:t>
      </w:r>
      <w:r>
        <w:rPr>
          <w:rFonts w:ascii="PT Astra Serif" w:hAnsi="PT Astra Serif"/>
          <w:b/>
          <w:sz w:val="24"/>
          <w:highlight w:val="none"/>
        </w:rPr>
        <w:t xml:space="preserve">выполняемых) областными государственными </w:t>
      </w:r>
      <w:r>
        <w:rPr>
          <w:rFonts w:ascii="PT Astra Serif" w:hAnsi="PT Astra Serif"/>
          <w:b/>
          <w:sz w:val="24"/>
          <w:highlight w:val="none"/>
        </w:rPr>
        <w:t xml:space="preserve">автономными учреждениями, подведомственными Департаменту ветеринарии Томской области, </w:t>
      </w:r>
      <w:r>
        <w:rPr>
          <w:rFonts w:ascii="PT Astra Serif" w:hAnsi="PT Astra Serif"/>
          <w:b/>
          <w:sz w:val="24"/>
          <w:highlight w:val="none"/>
        </w:rPr>
        <w:t xml:space="preserve">в соответствии</w:t>
      </w:r>
      <w:r>
        <w:rPr>
          <w:rFonts w:ascii="PT Astra Serif" w:hAnsi="PT Astra Serif"/>
          <w:b/>
          <w:sz w:val="24"/>
          <w:highlight w:val="none"/>
        </w:rPr>
        <w:t xml:space="preserve"> с государственным заданием, в рамках реализации комплекса процессных мероприятий (КПМ)</w:t>
      </w:r>
      <w:r>
        <w:rPr>
          <w:highlight w:val="none"/>
        </w:rPr>
      </w:r>
    </w:p>
    <w:p>
      <w:pPr>
        <w:pStyle w:val="603"/>
        <w:contextualSpacing/>
        <w:jc w:val="center"/>
        <w:rPr>
          <w:rFonts w:ascii="PT Astra Serif" w:hAnsi="PT Astra Serif"/>
          <w:sz w:val="22"/>
          <w:szCs w:val="22"/>
          <w:highlight w:val="none"/>
        </w:rPr>
      </w:pPr>
      <w:r>
        <w:rPr>
          <w:rFonts w:ascii="PT Astra Serif" w:hAnsi="PT Astra Serif"/>
          <w:b/>
          <w:sz w:val="24"/>
          <w:highlight w:val="none"/>
          <w:u w:val="single"/>
        </w:rPr>
        <w:t xml:space="preserve">Защита животных от болезней, защита населения от болезней, общих для человека и животных</w:t>
      </w:r>
      <w:r>
        <w:rPr>
          <w:rFonts w:ascii="PT Astra Serif" w:hAnsi="PT Astra Serif"/>
          <w:sz w:val="22"/>
          <w:szCs w:val="22"/>
          <w:highlight w:val="none"/>
        </w:rPr>
        <w:t xml:space="preserve"> </w:t>
      </w:r>
      <w:r>
        <w:rPr>
          <w:highlight w:val="none"/>
        </w:rPr>
      </w:r>
    </w:p>
    <w:p>
      <w:pPr>
        <w:pStyle w:val="603"/>
        <w:contextualSpacing/>
        <w:jc w:val="center"/>
        <w:rPr>
          <w:rFonts w:ascii="PT Astra Serif" w:hAnsi="PT Astra Serif"/>
          <w:sz w:val="22"/>
          <w:szCs w:val="22"/>
          <w:highlight w:val="none"/>
        </w:rPr>
      </w:pPr>
      <w:r>
        <w:rPr>
          <w:rFonts w:ascii="PT Astra Serif" w:hAnsi="PT Astra Serif"/>
          <w:sz w:val="22"/>
          <w:szCs w:val="22"/>
          <w:highlight w:val="none"/>
        </w:rPr>
        <w:t xml:space="preserve">(</w:t>
      </w:r>
      <w:r>
        <w:rPr>
          <w:rFonts w:ascii="PT Astra Serif" w:hAnsi="PT Astra Serif"/>
          <w:sz w:val="22"/>
          <w:szCs w:val="22"/>
          <w:highlight w:val="none"/>
        </w:rPr>
        <w:t xml:space="preserve">н</w:t>
      </w:r>
      <w:r>
        <w:rPr>
          <w:rFonts w:ascii="PT Astra Serif" w:hAnsi="PT Astra Serif"/>
          <w:sz w:val="22"/>
          <w:szCs w:val="22"/>
          <w:highlight w:val="none"/>
        </w:rPr>
        <w:t xml:space="preserve">аименование КПМ)</w:t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22"/>
          <w:szCs w:val="22"/>
          <w:highlight w:val="none"/>
        </w:rPr>
      </w:pPr>
      <w:r>
        <w:rPr>
          <w:rFonts w:ascii="PT Astra Serif" w:hAnsi="PT Astra Serif"/>
          <w:sz w:val="22"/>
          <w:szCs w:val="22"/>
          <w:highlight w:val="none"/>
        </w:rPr>
        <w:t xml:space="preserve">  </w:t>
      </w:r>
      <w:r>
        <w:rPr>
          <w:highlight w:val="none"/>
        </w:rPr>
      </w:r>
    </w:p>
    <w:tbl>
      <w:tblPr>
        <w:tblW w:w="15178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1984"/>
        <w:gridCol w:w="1134"/>
        <w:gridCol w:w="1843"/>
        <w:gridCol w:w="1843"/>
        <w:gridCol w:w="992"/>
        <w:gridCol w:w="992"/>
        <w:gridCol w:w="851"/>
        <w:gridCol w:w="1134"/>
        <w:gridCol w:w="1134"/>
        <w:gridCol w:w="1134"/>
      </w:tblGrid>
      <w:tr>
        <w:trPr>
          <w:cantSplit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№ п/п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Наименование государственной услуги (работы)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Содержание государственной услуги (работы)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Условия оказания государственной услуги (выполнения работы)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Наименование и единица измерения показателей объема государственной услуги (работы)</w:t>
            </w:r>
            <w:r>
              <w:rPr>
                <w:highlight w:val="non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Значения показателя объема государственной услуги (работы)  </w:t>
            </w:r>
            <w:r>
              <w:rPr>
                <w:highlight w:val="non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Объем бюджетных ассигнований (тыс. руб.) 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 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1.</w:t>
            </w:r>
            <w:r>
              <w:rPr>
                <w:highlight w:val="non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vAlign w:val="center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Государственные услуги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1.1.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Поддержка малых форм хозяйствования по искусственному осеменению коров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Искусственное осеменение коров, диагностика стельности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На выезде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eastAsia="Lucida Sans Unicode" w:cs="PT Astra Serif"/>
                <w:sz w:val="20"/>
                <w:szCs w:val="24"/>
                <w:highlight w:val="none"/>
                <w:lang w:eastAsia="hi-IN" w:bidi="hi-IN"/>
              </w:rPr>
              <w:t xml:space="preserve">Областные государственные автономные учреждения, подведомственные Департаменту ветеринарии Томской области (далее – Учреждения) (за исключением ОГАУ «Томская облветлаборатория»)</w:t>
            </w:r>
            <w:r>
              <w:rPr>
                <w:rFonts w:ascii="PT Astra Serif" w:hAnsi="PT Astra Serif" w:cs="PT Astra Serif"/>
                <w:sz w:val="20"/>
                <w:highlight w:val="none"/>
                <w:lang w:bidi="hi-IN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Количество животных, голов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595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3 595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3 595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13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898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8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13 898,8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13 898,8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2. </w:t>
            </w:r>
            <w:r>
              <w:rPr>
                <w:highlight w:val="non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Государственные работы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2.1.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Ветеринарные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обследования объектов, связанных с содержанием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животных, переработкой, хранением и реализацией продукции и сырья животного происхождения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Проведение ветеринарных обследований личных подсобных хозяйств, пасек и рыбопромысловых водоёмов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eastAsia="ru-RU"/>
              </w:rPr>
              <w:t xml:space="preserve">На выезде</w:t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в соответствии с планом-графиком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Учреждения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Количество обследований, </w:t>
            </w:r>
            <w:r>
              <w:rPr>
                <w:highlight w:val="none"/>
              </w:rPr>
            </w:r>
          </w:p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единиц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17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703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17 703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17 703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47 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660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47 660,5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47 660,5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2.2.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Плановые иммунизации и обработки животных против особо опасных </w:t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болезней животных и болезней, общих для человека и животных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Иммунизация животных против актуальных для области инфекционных болезней, антипаразитарные обработки животных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eastAsia="ru-RU"/>
              </w:rPr>
              <w:t xml:space="preserve">На выезде</w:t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в соответствии с планом-графиком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Учреждения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Количество</w:t>
            </w:r>
            <w:r>
              <w:rPr>
                <w:highlight w:val="none"/>
              </w:rPr>
            </w:r>
          </w:p>
          <w:p>
            <w:pPr>
              <w:pStyle w:val="603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вакцинаций, </w:t>
            </w:r>
            <w:r>
              <w:rPr>
                <w:highlight w:val="none"/>
              </w:rPr>
            </w:r>
          </w:p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единиц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299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550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299 550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299 550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102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870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102 870,5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102 870,5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2.3.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Диагностические</w:t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мероприятия по </w:t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предупреждению заразных и иных болезней животных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Проведение аллергических проб на туберкулез, осмотр на гиподерматоз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eastAsia="ru-RU"/>
              </w:rPr>
              <w:t xml:space="preserve">На выезде</w:t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в соответствии с планом-графиком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Учреждения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Количество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мероприятий, единиц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151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462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151 462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151 462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35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451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35 451,5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35 451,5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2.4.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Отбор проб в рамках</w:t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проведения противоэпизоотических мероприятий и мероприятий по обеспечению безопасности в ветеринарном отношении продукции животного происхождения на территории Томской области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Отбор проб биологического материала с целью проведения лабораторных исследований на особо опасные болезни животных и болезни общие для человека и животных; проведение трихинеллоскопии; отбор проб на безопасность пищевых продуктов и кормов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eastAsia="ru-RU"/>
              </w:rPr>
              <w:t xml:space="preserve">На выезде в соответствии с планом-графиком, стационарно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Учреждения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Количество проб, штук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705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105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705 105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705 105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73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586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9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73 586,9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73 586,9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2.5.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Лабораторные исследования в рамках проведения противоэпизоотических мероприятий и мероприятий по обеспечению безопасности в ветеринарном отношении продукции животного происхождения на территории Томской области</w:t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Лабораторные исследования биологического материала на особо опасные болезни животных, болезни, общие для человека и животных, исследования на безопасность пищевых продуктов и кормов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Стационарно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bidi="hi-IN"/>
              </w:rPr>
              <w:t xml:space="preserve">ОГАУ «Асиновское райветуправление»; 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bidi="hi-IN"/>
              </w:rPr>
              <w:t xml:space="preserve">ОГАУ «Бакчарское райветуправление»; 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bidi="hi-IN"/>
              </w:rPr>
              <w:t xml:space="preserve">ОГАУ «Каргасокское райветупраление»; 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bidi="hi-IN"/>
              </w:rPr>
              <w:t xml:space="preserve">ОГАУ «Колпашевское межрайонное ветуправление»; 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bidi="hi-IN"/>
              </w:rPr>
              <w:t xml:space="preserve">ОГАУ «Кожевниковское райветуправление»;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  <w:lang w:bidi="hi-IN"/>
              </w:rPr>
              <w:t xml:space="preserve">ОГАУ «Кривошеинское межрайонное ветуправление»; 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ОГАУ «Томская облветлаборатория»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Количество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 w:cs="PT Astra Serif"/>
                <w:sz w:val="20"/>
                <w:highlight w:val="none"/>
              </w:rPr>
              <w:t xml:space="preserve">исследований, единиц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386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434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386 434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386 434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83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107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83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107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83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107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7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699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699,5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699,5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7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Итого: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357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275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0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357 275,3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  <w:highlight w:val="none"/>
              </w:rPr>
            </w:pPr>
            <w:r>
              <w:rPr>
                <w:rFonts w:ascii="PT Astra Serif" w:hAnsi="PT Astra Serif"/>
                <w:sz w:val="20"/>
                <w:highlight w:val="none"/>
              </w:rPr>
              <w:t xml:space="preserve">357 275,3</w:t>
            </w:r>
            <w:r>
              <w:rPr>
                <w:rFonts w:ascii="PT Astra Serif" w:hAnsi="PT Astra Serif"/>
                <w:sz w:val="20"/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603"/>
        <w:rPr>
          <w:rFonts w:ascii="PT Astra Serif" w:hAnsi="PT Astra Serif"/>
          <w:sz w:val="22"/>
          <w:szCs w:val="22"/>
          <w:highlight w:val="none"/>
        </w:rPr>
      </w:pPr>
      <w:r>
        <w:rPr>
          <w:rFonts w:ascii="PT Astra Serif" w:hAnsi="PT Astra Serif"/>
          <w:sz w:val="22"/>
          <w:szCs w:val="22"/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6838" w:h="11906" w:orient="landscape"/>
      <w:pgMar w:top="1134" w:right="1134" w:bottom="822" w:left="85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03"/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03"/>
        <w:ind w:left="576" w:hanging="576"/>
        <w:tabs>
          <w:tab w:val="num" w:pos="0" w:leader="none"/>
        </w:tabs>
      </w:pPr>
    </w:lvl>
    <w:lvl w:ilvl="2">
      <w:start w:val="1"/>
      <w:numFmt w:val="decimal"/>
      <w:pStyle w:val="604"/>
      <w:isLgl w:val="false"/>
      <w:suff w:val="nothing"/>
      <w:lvlText w:val=""/>
      <w:lvlJc w:val="left"/>
      <w:pPr>
        <w:pStyle w:val="603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03"/>
        <w:ind w:left="864" w:hanging="864"/>
        <w:tabs>
          <w:tab w:val="num" w:pos="0" w:leader="none"/>
        </w:tabs>
      </w:pPr>
    </w:lvl>
    <w:lvl w:ilvl="4">
      <w:start w:val="1"/>
      <w:numFmt w:val="decimal"/>
      <w:pStyle w:val="605"/>
      <w:isLgl w:val="false"/>
      <w:suff w:val="nothing"/>
      <w:lvlText w:val=""/>
      <w:lvlJc w:val="left"/>
      <w:pPr>
        <w:pStyle w:val="603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03"/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03"/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03"/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03"/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3"/>
        <w:ind w:left="150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03"/>
        <w:ind w:left="222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03"/>
        <w:ind w:left="294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03"/>
        <w:ind w:left="366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03"/>
        <w:ind w:left="438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03"/>
        <w:ind w:left="510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03"/>
        <w:ind w:left="582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03"/>
        <w:ind w:left="654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03"/>
        <w:ind w:left="726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15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22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94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36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43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510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8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65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7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3"/>
    <w:next w:val="603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3"/>
    <w:next w:val="603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3"/>
    <w:next w:val="603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3"/>
    <w:next w:val="603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3"/>
    <w:next w:val="603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3"/>
    <w:next w:val="603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3"/>
    <w:next w:val="603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3"/>
    <w:next w:val="603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3"/>
    <w:next w:val="603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3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3"/>
    <w:next w:val="603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3"/>
    <w:next w:val="603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3"/>
    <w:next w:val="603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3"/>
    <w:next w:val="603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3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3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3"/>
    <w:next w:val="6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3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3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3"/>
    <w:next w:val="603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3"/>
    <w:next w:val="603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3"/>
    <w:next w:val="603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3"/>
    <w:next w:val="603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3"/>
    <w:next w:val="603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3"/>
    <w:next w:val="603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3"/>
    <w:next w:val="603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3"/>
    <w:next w:val="603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3"/>
    <w:next w:val="603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3"/>
    <w:next w:val="603"/>
    <w:uiPriority w:val="99"/>
    <w:unhideWhenUsed/>
    <w:pPr>
      <w:spacing w:after="0" w:afterAutospacing="0"/>
    </w:pPr>
  </w:style>
  <w:style w:type="paragraph" w:styleId="603" w:default="1">
    <w:name w:val="Normal"/>
    <w:next w:val="603"/>
    <w:link w:val="603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hi-IN" w:bidi="hi-IN"/>
    </w:rPr>
  </w:style>
  <w:style w:type="paragraph" w:styleId="604">
    <w:name w:val="Заголовок 3"/>
    <w:basedOn w:val="603"/>
    <w:next w:val="603"/>
    <w:link w:val="603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605">
    <w:name w:val="Заголовок 5"/>
    <w:basedOn w:val="603"/>
    <w:next w:val="603"/>
    <w:link w:val="603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06">
    <w:name w:val="Основной шрифт абзаца"/>
    <w:next w:val="606"/>
    <w:link w:val="603"/>
  </w:style>
  <w:style w:type="table" w:styleId="607">
    <w:name w:val="Обычная таблица"/>
    <w:next w:val="607"/>
    <w:link w:val="603"/>
    <w:uiPriority w:val="99"/>
    <w:semiHidden/>
    <w:unhideWhenUsed/>
    <w:tblPr/>
  </w:style>
  <w:style w:type="numbering" w:styleId="608">
    <w:name w:val="Нет списка"/>
    <w:next w:val="608"/>
    <w:link w:val="603"/>
    <w:uiPriority w:val="99"/>
    <w:semiHidden/>
    <w:unhideWhenUsed/>
  </w:style>
  <w:style w:type="character" w:styleId="609">
    <w:name w:val="Absatz-Standardschriftart"/>
    <w:next w:val="609"/>
    <w:link w:val="603"/>
  </w:style>
  <w:style w:type="character" w:styleId="610">
    <w:name w:val="WW-Absatz-Standardschriftart"/>
    <w:next w:val="610"/>
    <w:link w:val="603"/>
  </w:style>
  <w:style w:type="character" w:styleId="611">
    <w:name w:val="WW-Absatz-Standardschriftart1"/>
    <w:next w:val="611"/>
    <w:link w:val="603"/>
  </w:style>
  <w:style w:type="character" w:styleId="612">
    <w:name w:val="WW-Absatz-Standardschriftart11"/>
    <w:next w:val="612"/>
    <w:link w:val="603"/>
  </w:style>
  <w:style w:type="character" w:styleId="613">
    <w:name w:val="WW-Absatz-Standardschriftart111"/>
    <w:next w:val="613"/>
    <w:link w:val="603"/>
  </w:style>
  <w:style w:type="character" w:styleId="614">
    <w:name w:val="WW-Absatz-Standardschriftart1111"/>
    <w:next w:val="614"/>
    <w:link w:val="603"/>
  </w:style>
  <w:style w:type="character" w:styleId="615">
    <w:name w:val="WW-Absatz-Standardschriftart11111"/>
    <w:next w:val="615"/>
    <w:link w:val="603"/>
  </w:style>
  <w:style w:type="paragraph" w:styleId="617">
    <w:name w:val="Основной текст"/>
    <w:basedOn w:val="603"/>
    <w:next w:val="617"/>
    <w:link w:val="603"/>
    <w:pPr>
      <w:spacing w:before="0" w:after="0"/>
    </w:pPr>
  </w:style>
  <w:style w:type="paragraph" w:styleId="618">
    <w:name w:val="Список"/>
    <w:basedOn w:val="617"/>
    <w:next w:val="618"/>
    <w:link w:val="603"/>
    <w:rPr>
      <w:rFonts w:ascii="Arial" w:hAnsi="Arial" w:cs="Mangal"/>
    </w:rPr>
  </w:style>
  <w:style w:type="paragraph" w:styleId="619">
    <w:name w:val="Название1"/>
    <w:basedOn w:val="603"/>
    <w:next w:val="619"/>
    <w:link w:val="603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620">
    <w:name w:val="Указатель1"/>
    <w:basedOn w:val="603"/>
    <w:next w:val="620"/>
    <w:link w:val="603"/>
    <w:pPr>
      <w:suppressLineNumbers/>
    </w:pPr>
    <w:rPr>
      <w:rFonts w:ascii="Arial" w:hAnsi="Arial" w:cs="Mangal"/>
    </w:rPr>
  </w:style>
  <w:style w:type="paragraph" w:styleId="621">
    <w:name w:val="Название"/>
    <w:next w:val="622"/>
    <w:link w:val="603"/>
    <w:qFormat/>
  </w:style>
  <w:style w:type="paragraph" w:styleId="622">
    <w:name w:val="Подзаголовок"/>
    <w:basedOn w:val="621"/>
    <w:next w:val="617"/>
    <w:link w:val="603"/>
    <w:qFormat/>
    <w:pPr>
      <w:jc w:val="center"/>
    </w:pPr>
    <w:rPr>
      <w:i/>
      <w:iCs/>
      <w:sz w:val="28"/>
      <w:szCs w:val="28"/>
    </w:rPr>
  </w:style>
  <w:style w:type="paragraph" w:styleId="623">
    <w:name w:val="Верхний колонтитул"/>
    <w:basedOn w:val="603"/>
    <w:next w:val="623"/>
    <w:link w:val="603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/>
    </w:rPr>
  </w:style>
  <w:style w:type="paragraph" w:styleId="624">
    <w:name w:val="Верхний колонтитул справа"/>
    <w:basedOn w:val="603"/>
    <w:next w:val="624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5">
    <w:name w:val="Верхний колонтитул слева"/>
    <w:basedOn w:val="603"/>
    <w:next w:val="625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6">
    <w:name w:val="Горизонтальная линия"/>
    <w:basedOn w:val="603"/>
    <w:next w:val="617"/>
    <w:link w:val="603"/>
    <w:pPr>
      <w:spacing w:before="0" w:after="283"/>
      <w:pBdr>
        <w:top w:val="none" w:color="000000" w:sz="0" w:space="0"/>
        <w:left w:val="none" w:color="000000" w:sz="0" w:space="0"/>
        <w:bottom w:val="single" w:color="00000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627">
    <w:name w:val="Основной текст с отступом"/>
    <w:basedOn w:val="617"/>
    <w:next w:val="627"/>
    <w:link w:val="603"/>
    <w:pPr>
      <w:ind w:left="283" w:right="0" w:firstLine="0"/>
    </w:pPr>
  </w:style>
  <w:style w:type="paragraph" w:styleId="628">
    <w:name w:val="Красная строка"/>
    <w:basedOn w:val="617"/>
    <w:next w:val="628"/>
    <w:link w:val="642"/>
    <w:pPr>
      <w:ind w:left="0" w:right="0" w:firstLine="709"/>
    </w:pPr>
    <w:rPr>
      <w:lang w:val="en-US"/>
    </w:rPr>
  </w:style>
  <w:style w:type="paragraph" w:styleId="629">
    <w:name w:val="Таблица"/>
    <w:basedOn w:val="619"/>
    <w:next w:val="629"/>
    <w:link w:val="603"/>
  </w:style>
  <w:style w:type="paragraph" w:styleId="630">
    <w:name w:val="Текст1"/>
    <w:basedOn w:val="619"/>
    <w:next w:val="630"/>
    <w:link w:val="603"/>
  </w:style>
  <w:style w:type="paragraph" w:styleId="631">
    <w:name w:val="Содержимое таблицы"/>
    <w:basedOn w:val="603"/>
    <w:next w:val="631"/>
    <w:link w:val="603"/>
    <w:pPr>
      <w:suppressLineNumbers/>
    </w:pPr>
  </w:style>
  <w:style w:type="paragraph" w:styleId="632">
    <w:name w:val="Текст шапки"/>
    <w:basedOn w:val="617"/>
    <w:next w:val="632"/>
    <w:link w:val="603"/>
    <w:pPr>
      <w:jc w:val="center"/>
    </w:pPr>
    <w:rPr>
      <w:b/>
      <w:bCs/>
      <w:sz w:val="30"/>
      <w:szCs w:val="30"/>
    </w:rPr>
  </w:style>
  <w:style w:type="paragraph" w:styleId="633">
    <w:name w:val="Подпись_дол+ФИО"/>
    <w:basedOn w:val="617"/>
    <w:next w:val="628"/>
    <w:link w:val="603"/>
    <w:pPr>
      <w:jc w:val="left"/>
      <w:tabs>
        <w:tab w:val="right" w:pos="10035" w:leader="none"/>
      </w:tabs>
    </w:pPr>
    <w:rPr>
      <w:sz w:val="28"/>
      <w:szCs w:val="24"/>
    </w:rPr>
  </w:style>
  <w:style w:type="paragraph" w:styleId="634">
    <w:name w:val="Содержимое врезки"/>
    <w:basedOn w:val="617"/>
    <w:next w:val="634"/>
    <w:link w:val="603"/>
  </w:style>
  <w:style w:type="paragraph" w:styleId="635">
    <w:name w:val="Подпись"/>
    <w:basedOn w:val="617"/>
    <w:next w:val="635"/>
    <w:link w:val="603"/>
    <w:pPr>
      <w:suppressLineNumbers/>
    </w:pPr>
  </w:style>
  <w:style w:type="paragraph" w:styleId="636">
    <w:name w:val="ПодписьСогл_дол+ФИО"/>
    <w:basedOn w:val="633"/>
    <w:next w:val="636"/>
    <w:link w:val="603"/>
    <w:rPr>
      <w:sz w:val="24"/>
    </w:rPr>
  </w:style>
  <w:style w:type="paragraph" w:styleId="637">
    <w:name w:val="Текст в заданном формате"/>
    <w:basedOn w:val="603"/>
    <w:next w:val="637"/>
    <w:link w:val="603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638">
    <w:name w:val="Заголовок таблицы"/>
    <w:basedOn w:val="631"/>
    <w:next w:val="638"/>
    <w:link w:val="603"/>
    <w:pPr>
      <w:jc w:val="center"/>
      <w:suppressLineNumbers/>
    </w:pPr>
    <w:rPr>
      <w:b/>
      <w:bCs/>
    </w:rPr>
  </w:style>
  <w:style w:type="paragraph" w:styleId="639">
    <w:name w:val="первая-строка-с-отступом-western"/>
    <w:basedOn w:val="603"/>
    <w:next w:val="639"/>
    <w:link w:val="603"/>
    <w:pPr>
      <w:ind w:firstLine="709"/>
      <w:spacing w:before="100" w:beforeAutospacing="1" w:line="240" w:lineRule="auto"/>
      <w:widowControl/>
    </w:pPr>
    <w:rPr>
      <w:rFonts w:eastAsia="Times New Roman" w:cs="Times New Roman"/>
      <w:szCs w:val="28"/>
      <w:lang w:eastAsia="ru-RU" w:bidi="ar-SA"/>
    </w:rPr>
  </w:style>
  <w:style w:type="paragraph" w:styleId="640">
    <w:name w:val="Text body"/>
    <w:basedOn w:val="603"/>
    <w:next w:val="640"/>
    <w:link w:val="603"/>
    <w:pPr>
      <w:spacing w:line="240" w:lineRule="auto"/>
    </w:pPr>
    <w:rPr>
      <w:sz w:val="21"/>
      <w:lang w:eastAsia="zh-CN"/>
    </w:rPr>
  </w:style>
  <w:style w:type="paragraph" w:styleId="641">
    <w:name w:val="First line indent"/>
    <w:basedOn w:val="640"/>
    <w:next w:val="641"/>
    <w:link w:val="603"/>
    <w:pPr>
      <w:ind w:firstLine="709"/>
    </w:pPr>
  </w:style>
  <w:style w:type="character" w:styleId="642">
    <w:name w:val="Красная строка Знак"/>
    <w:next w:val="642"/>
    <w:link w:val="628"/>
    <w:rPr>
      <w:rFonts w:eastAsia="Lucida Sans Unicode" w:cs="Mangal"/>
      <w:sz w:val="28"/>
      <w:szCs w:val="24"/>
      <w:lang w:eastAsia="hi-IN" w:bidi="hi-IN"/>
    </w:rPr>
  </w:style>
  <w:style w:type="paragraph" w:styleId="643">
    <w:name w:val="Текст выноски"/>
    <w:basedOn w:val="603"/>
    <w:next w:val="643"/>
    <w:link w:val="644"/>
    <w:uiPriority w:val="99"/>
    <w:semiHidden/>
    <w:unhideWhenUsed/>
    <w:pPr>
      <w:spacing w:line="240" w:lineRule="auto"/>
    </w:pPr>
    <w:rPr>
      <w:rFonts w:ascii="Segoe UI" w:hAnsi="Segoe UI"/>
      <w:sz w:val="18"/>
      <w:szCs w:val="16"/>
      <w:lang w:val="en-US"/>
    </w:rPr>
  </w:style>
  <w:style w:type="character" w:styleId="644">
    <w:name w:val="Текст выноски Знак"/>
    <w:next w:val="644"/>
    <w:link w:val="643"/>
    <w:uiPriority w:val="99"/>
    <w:semiHidden/>
    <w:rPr>
      <w:rFonts w:ascii="Segoe UI" w:hAnsi="Segoe UI" w:eastAsia="Lucida Sans Unicode" w:cs="Mangal"/>
      <w:sz w:val="18"/>
      <w:szCs w:val="16"/>
      <w:lang w:eastAsia="hi-IN" w:bidi="hi-IN"/>
    </w:rPr>
  </w:style>
  <w:style w:type="paragraph" w:styleId="645">
    <w:name w:val="Standard"/>
    <w:next w:val="645"/>
    <w:link w:val="603"/>
    <w:pPr>
      <w:jc w:val="both"/>
      <w:widowControl w:val="off"/>
    </w:pPr>
    <w:rPr>
      <w:sz w:val="28"/>
      <w:szCs w:val="24"/>
      <w:lang w:val="ru-RU" w:eastAsia="zh-CN" w:bidi="hi-IN"/>
    </w:rPr>
  </w:style>
  <w:style w:type="table" w:styleId="646">
    <w:name w:val="Сетка таблицы"/>
    <w:basedOn w:val="607"/>
    <w:next w:val="646"/>
    <w:link w:val="603"/>
    <w:uiPriority w:val="59"/>
    <w:tblPr/>
  </w:style>
  <w:style w:type="character" w:styleId="647">
    <w:name w:val="Основной шрифт абзаца1"/>
    <w:next w:val="647"/>
    <w:link w:val="603"/>
  </w:style>
  <w:style w:type="paragraph" w:styleId="648">
    <w:name w:val="ConsPlusNormal"/>
    <w:next w:val="648"/>
    <w:link w:val="603"/>
    <w:pPr>
      <w:ind w:firstLine="720"/>
      <w:widowControl w:val="off"/>
    </w:pPr>
    <w:rPr>
      <w:rFonts w:ascii="Arial" w:hAnsi="Arial"/>
      <w:lang w:val="ru-RU" w:eastAsia="ru-RU" w:bidi="ar-SA"/>
    </w:rPr>
  </w:style>
  <w:style w:type="paragraph" w:styleId="649">
    <w:name w:val="Основной текст 31"/>
    <w:basedOn w:val="603"/>
    <w:next w:val="649"/>
    <w:link w:val="603"/>
    <w:pPr>
      <w:jc w:val="left"/>
      <w:spacing w:before="120" w:line="240" w:lineRule="auto"/>
      <w:widowControl/>
      <w:tabs>
        <w:tab w:val="left" w:pos="7371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Times New Roman" w:cs="Times New Roman"/>
      <w:szCs w:val="20"/>
      <w:lang w:eastAsia="zh-CN" w:bidi="ar-SA"/>
    </w:rPr>
  </w:style>
  <w:style w:type="character" w:styleId="14371" w:default="1">
    <w:name w:val="Default Paragraph Font"/>
    <w:uiPriority w:val="1"/>
    <w:semiHidden/>
    <w:unhideWhenUsed/>
  </w:style>
  <w:style w:type="numbering" w:styleId="14372" w:default="1">
    <w:name w:val="No List"/>
    <w:uiPriority w:val="99"/>
    <w:semiHidden/>
    <w:unhideWhenUsed/>
  </w:style>
  <w:style w:type="table" w:styleId="1437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Hewlett-Packard Company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123</cp:revision>
  <dcterms:created xsi:type="dcterms:W3CDTF">2023-09-11T07:22:00Z</dcterms:created>
  <dcterms:modified xsi:type="dcterms:W3CDTF">2026-04-15T03:26:42Z</dcterms:modified>
  <cp:version>1048576</cp:version>
</cp:coreProperties>
</file>