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18"/>
        <w:ind w:right="-333"/>
        <w:jc w:val="center"/>
        <w:rPr>
          <w:rFonts w:ascii="PT Astra Serif" w:hAnsi="PT Astra Serif" w:cs="Times New Roman"/>
          <w:b/>
          <w:bCs/>
          <w:sz w:val="26"/>
          <w:szCs w:val="26"/>
        </w:rPr>
      </w:pPr>
      <w:r>
        <w:rPr>
          <w:rFonts w:ascii="PT Astra Serif" w:hAnsi="PT Astra Serif" w:cs="Times New Roman"/>
          <w:b/>
          <w:bCs/>
          <w:sz w:val="26"/>
          <w:szCs w:val="26"/>
        </w:rPr>
        <w:t xml:space="preserve">Выписка из протокола</w:t>
      </w:r>
      <w:r/>
    </w:p>
    <w:p>
      <w:pPr>
        <w:pStyle w:val="818"/>
        <w:ind w:right="-333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b/>
          <w:bCs/>
          <w:sz w:val="26"/>
          <w:szCs w:val="26"/>
        </w:rPr>
        <w:t xml:space="preserve">заседания Комиссии Департамента ветеринарии Томской области по соблюдению требований к служебному поведению государственных гражданских служащих </w:t>
      </w:r>
      <w:r>
        <w:rPr>
          <w:rFonts w:ascii="PT Astra Serif" w:hAnsi="PT Astra Serif" w:cs="Times New Roman"/>
          <w:b/>
          <w:bCs/>
          <w:sz w:val="26"/>
          <w:szCs w:val="26"/>
        </w:rPr>
        <w:t xml:space="preserve">Томской области, проходящих службу в Департаменте ветеринарии Томской области, </w:t>
      </w:r>
      <w:r>
        <w:rPr>
          <w:rFonts w:ascii="PT Astra Serif" w:hAnsi="PT Astra Serif" w:cs="Times New Roman"/>
          <w:b/>
          <w:bCs/>
          <w:sz w:val="26"/>
          <w:szCs w:val="26"/>
        </w:rPr>
        <w:t xml:space="preserve">и урегулированию конфликта интересов </w:t>
      </w:r>
      <w:r>
        <w:rPr>
          <w:rFonts w:ascii="PT Astra Serif" w:hAnsi="PT Astra Serif" w:cs="Times New Roman"/>
          <w:b/>
          <w:bCs/>
          <w:sz w:val="26"/>
          <w:szCs w:val="26"/>
        </w:rPr>
        <w:t xml:space="preserve">от</w:t>
      </w:r>
      <w:r>
        <w:rPr>
          <w:rFonts w:ascii="PT Astra Serif" w:hAnsi="PT Astra Serif" w:cs="Times New Roman"/>
          <w:b/>
          <w:bCs/>
          <w:sz w:val="26"/>
          <w:szCs w:val="26"/>
        </w:rPr>
        <w:t xml:space="preserve"> </w:t>
      </w:r>
      <w:r>
        <w:rPr>
          <w:rFonts w:ascii="PT Astra Serif" w:hAnsi="PT Astra Serif" w:cs="Times New Roman"/>
          <w:b/>
          <w:bCs/>
          <w:sz w:val="26"/>
          <w:szCs w:val="26"/>
        </w:rPr>
        <w:t xml:space="preserve">26.12.2025 № </w:t>
      </w:r>
      <w:r>
        <w:rPr>
          <w:rFonts w:ascii="PT Astra Serif" w:hAnsi="PT Astra Serif" w:cs="Times New Roman"/>
          <w:b/>
          <w:bCs/>
          <w:sz w:val="26"/>
          <w:szCs w:val="26"/>
          <w:lang w:val="en-US"/>
        </w:rPr>
        <w:t xml:space="preserve">4</w:t>
      </w:r>
      <w:r>
        <w:rPr>
          <w:rFonts w:ascii="PT Astra Serif" w:hAnsi="PT Astra Serif" w:cs="Times New Roman"/>
          <w:b/>
          <w:bCs/>
          <w:sz w:val="26"/>
          <w:szCs w:val="26"/>
        </w:rPr>
      </w:r>
      <w:r/>
    </w:p>
    <w:p>
      <w:pPr>
        <w:pStyle w:val="818"/>
        <w:ind w:right="-333"/>
        <w:jc w:val="center"/>
        <w:rPr>
          <w:rFonts w:ascii="PT Astra Serif" w:hAnsi="PT Astra Serif" w:cs="Times New Roman"/>
          <w:b/>
          <w:bCs/>
          <w:sz w:val="16"/>
          <w:szCs w:val="16"/>
        </w:rPr>
      </w:pPr>
      <w:r>
        <w:rPr>
          <w:rFonts w:ascii="PT Astra Serif" w:hAnsi="PT Astra Serif" w:cs="Times New Roman"/>
          <w:b/>
          <w:bCs/>
          <w:sz w:val="16"/>
          <w:szCs w:val="16"/>
        </w:rPr>
      </w:r>
      <w:r/>
    </w:p>
    <w:p>
      <w:pPr>
        <w:pStyle w:val="818"/>
        <w:ind w:firstLine="709"/>
        <w:jc w:val="both"/>
        <w:rPr>
          <w:rFonts w:ascii="PT Astra Serif" w:hAnsi="PT Astra Serif" w:eastAsia="Courier New" w:cs="Times New Roman"/>
          <w:b/>
          <w:sz w:val="26"/>
          <w:szCs w:val="26"/>
        </w:rPr>
      </w:pPr>
      <w:r>
        <w:rPr>
          <w:rFonts w:ascii="PT Astra Serif" w:hAnsi="PT Astra Serif" w:eastAsia="Courier New" w:cs="Times New Roman"/>
          <w:b/>
          <w:sz w:val="26"/>
          <w:szCs w:val="26"/>
        </w:rPr>
        <w:t xml:space="preserve">Источник информации, содержащей основания для проведения заседания </w:t>
      </w:r>
      <w:r>
        <w:rPr>
          <w:rFonts w:ascii="PT Astra Serif" w:hAnsi="PT Astra Serif" w:cs="Times New Roman"/>
          <w:b/>
          <w:bCs/>
          <w:sz w:val="26"/>
          <w:szCs w:val="26"/>
        </w:rPr>
        <w:t xml:space="preserve">Комиссии</w:t>
      </w:r>
      <w:r>
        <w:rPr>
          <w:rFonts w:ascii="PT Astra Serif" w:hAnsi="PT Astra Serif" w:cs="Times New Roman"/>
          <w:b/>
          <w:bCs/>
          <w:sz w:val="26"/>
          <w:szCs w:val="26"/>
        </w:rPr>
        <w:t xml:space="preserve"> </w:t>
      </w:r>
      <w:r>
        <w:rPr>
          <w:rFonts w:ascii="PT Astra Serif" w:hAnsi="PT Astra Serif" w:cs="Times New Roman"/>
          <w:b/>
          <w:bCs/>
          <w:sz w:val="26"/>
          <w:szCs w:val="26"/>
        </w:rPr>
        <w:t xml:space="preserve">Департамента ветеринарии Томской области по соблюдению требований к служебному поведению государственных гражданских служащих </w:t>
      </w:r>
      <w:r>
        <w:rPr>
          <w:rFonts w:ascii="PT Astra Serif" w:hAnsi="PT Astra Serif" w:cs="Times New Roman"/>
          <w:b/>
          <w:bCs/>
          <w:sz w:val="26"/>
          <w:szCs w:val="26"/>
        </w:rPr>
        <w:t xml:space="preserve">Томской области, проходящих службу в Департаменте ветеринарии Томской области, </w:t>
      </w:r>
      <w:r>
        <w:rPr>
          <w:rFonts w:ascii="PT Astra Serif" w:hAnsi="PT Astra Serif" w:cs="Times New Roman"/>
          <w:b/>
          <w:bCs/>
          <w:sz w:val="26"/>
          <w:szCs w:val="26"/>
        </w:rPr>
        <w:t xml:space="preserve">и урегулированию конфликта интересов</w:t>
      </w:r>
      <w:r>
        <w:rPr>
          <w:rFonts w:ascii="PT Astra Serif" w:hAnsi="PT Astra Serif" w:cs="Times New Roman"/>
          <w:b/>
          <w:bCs/>
          <w:sz w:val="26"/>
          <w:szCs w:val="26"/>
        </w:rPr>
        <w:t xml:space="preserve"> (далее – Комиссия)</w:t>
      </w:r>
      <w:r>
        <w:rPr>
          <w:rFonts w:ascii="PT Astra Serif" w:hAnsi="PT Astra Serif" w:eastAsia="Courier New" w:cs="Times New Roman"/>
          <w:b/>
          <w:sz w:val="26"/>
          <w:szCs w:val="26"/>
        </w:rPr>
        <w:t xml:space="preserve">: </w:t>
      </w:r>
      <w:r/>
    </w:p>
    <w:p>
      <w:pPr>
        <w:ind w:firstLine="709"/>
        <w:jc w:val="both"/>
        <w:rPr>
          <w:rStyle w:val="851"/>
          <w:rFonts w:ascii="PT Astra Serif" w:hAnsi="PT Astra Serif" w:eastAsia="Courier New" w:cs="Times New Roman"/>
          <w:spacing w:val="-3"/>
          <w:sz w:val="26"/>
          <w:szCs w:val="26"/>
          <w14:ligatures w14:val="none"/>
        </w:rPr>
        <w:pBdr>
          <w:right w:val="none" w:color="000000" w:sz="0" w:space="0"/>
        </w:pBdr>
      </w:pP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  <w:t xml:space="preserve">- п</w:t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  <w:t xml:space="preserve">редставление секретаря Комиссии Невинной М.И., консультанта комитета правового и информационно-аналитического обеспечения Департамента, от </w:t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  <w:t xml:space="preserve">22.</w:t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  <w:t xml:space="preserve">12.2025 об осуществлении в Департаменте мер по предупреждению коррупции (далее – представление). </w:t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</w:r>
    </w:p>
    <w:p>
      <w:pPr>
        <w:ind w:firstLine="709"/>
        <w:jc w:val="both"/>
        <w:rPr>
          <w:rStyle w:val="851"/>
          <w:rFonts w:ascii="PT Astra Serif" w:hAnsi="PT Astra Serif" w:eastAsia="Courier New" w:cs="Times New Roman"/>
          <w:spacing w:val="-3"/>
          <w:sz w:val="26"/>
          <w:szCs w:val="26"/>
          <w14:ligatures w14:val="none"/>
        </w:rPr>
        <w:pBdr>
          <w:right w:val="none" w:color="000000" w:sz="0" w:space="0"/>
        </w:pBdr>
      </w:pP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  <w:t xml:space="preserve">-</w:t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  <w:t xml:space="preserve"> </w:t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  <w:t xml:space="preserve">план заседаний Комиссии на 2026</w:t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  <w:t xml:space="preserve"> год</w:t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  <w:t xml:space="preserve">.</w:t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  <w:t xml:space="preserve"> </w:t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</w:r>
    </w:p>
    <w:p>
      <w:pPr>
        <w:pStyle w:val="818"/>
        <w:ind w:firstLine="709"/>
        <w:jc w:val="both"/>
        <w:rPr>
          <w:rFonts w:ascii="PT Astra Serif" w:hAnsi="PT Astra Serif" w:eastAsia="Courier New" w:cs="Times New Roman"/>
          <w:sz w:val="16"/>
          <w:szCs w:val="16"/>
        </w:rPr>
      </w:pPr>
      <w:r>
        <w:rPr>
          <w:rFonts w:ascii="PT Astra Serif" w:hAnsi="PT Astra Serif" w:eastAsia="Courier New" w:cs="Times New Roman"/>
          <w:sz w:val="16"/>
          <w:szCs w:val="16"/>
        </w:rPr>
      </w:r>
      <w:r/>
    </w:p>
    <w:p>
      <w:pPr>
        <w:pStyle w:val="818"/>
        <w:ind w:firstLine="709"/>
        <w:jc w:val="both"/>
        <w:rPr>
          <w:rFonts w:ascii="PT Astra Serif" w:hAnsi="PT Astra Serif" w:cs="Times New Roman"/>
          <w:b/>
          <w:bCs/>
          <w:sz w:val="26"/>
          <w:szCs w:val="26"/>
        </w:rPr>
      </w:pPr>
      <w:r>
        <w:rPr>
          <w:rFonts w:ascii="PT Astra Serif" w:hAnsi="PT Astra Serif" w:cs="Times New Roman"/>
          <w:b/>
          <w:bCs/>
          <w:sz w:val="26"/>
          <w:szCs w:val="26"/>
        </w:rPr>
        <w:t xml:space="preserve">Вопросы повестки заседания Комиссии:</w:t>
      </w:r>
      <w:r>
        <w:rPr>
          <w:rFonts w:ascii="PT Astra Serif" w:hAnsi="PT Astra Serif" w:cs="Times New Roman"/>
          <w:b/>
          <w:bCs/>
          <w:sz w:val="26"/>
          <w:szCs w:val="26"/>
        </w:rPr>
      </w:r>
      <w:r/>
    </w:p>
    <w:p>
      <w:pPr>
        <w:ind w:firstLine="709"/>
        <w:jc w:val="both"/>
        <w:rPr>
          <w:rStyle w:val="851"/>
          <w:rFonts w:ascii="PT Astra Serif" w:hAnsi="PT Astra Serif" w:eastAsia="Courier New" w:cs="Times New Roman"/>
          <w:spacing w:val="-3"/>
          <w:sz w:val="26"/>
          <w:szCs w:val="26"/>
          <w14:ligatures w14:val="none"/>
        </w:rPr>
        <w:pBdr>
          <w:right w:val="none" w:color="000000" w:sz="0" w:space="0"/>
        </w:pBdr>
      </w:pP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  <w:t xml:space="preserve">1. </w:t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  <w:t xml:space="preserve">О проведении разъяснительной работы среди государственных гражданских служащ</w:t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  <w:t xml:space="preserve">их Томской области, замещающих должность государственной гражданской службы в Департаменте ветеринарии Томской области (далее - государственные гражданские служащие Департамента) по вопросам противодействия коррупции и о порядке уведомления о фактах обраще</w:t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  <w:t xml:space="preserve">ния в целях склонения государственного гражданского служащего к совершению коррупционных правонарушений.</w:t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</w:r>
    </w:p>
    <w:p>
      <w:pPr>
        <w:ind w:firstLine="709"/>
        <w:jc w:val="both"/>
        <w:rPr>
          <w:rStyle w:val="851"/>
          <w:rFonts w:ascii="PT Astra Serif" w:hAnsi="PT Astra Serif" w:eastAsia="Courier New" w:cs="Times New Roman"/>
          <w:spacing w:val="-3"/>
          <w:sz w:val="26"/>
          <w:szCs w:val="26"/>
          <w14:ligatures w14:val="none"/>
        </w:rPr>
        <w:pBdr>
          <w:right w:val="none" w:color="000000" w:sz="0" w:space="0"/>
        </w:pBdr>
      </w:pP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  <w:t xml:space="preserve">2. О результатах соблюдения требований пункта 2 статьи 14 Федерального закона от 27.07.2004 № 79-ФЗ «О государственной гражданской службе Российской Фе</w:t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  <w:t xml:space="preserve">дерации» по предварительному уведомлению представителя нанимателя о выполнении иной оплачиваемой деятельности.</w:t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</w:r>
    </w:p>
    <w:p>
      <w:pPr>
        <w:ind w:firstLine="709"/>
        <w:jc w:val="both"/>
        <w:rPr>
          <w:rStyle w:val="851"/>
          <w:rFonts w:ascii="PT Astra Serif" w:hAnsi="PT Astra Serif" w:eastAsia="Courier New" w:cs="Times New Roman"/>
          <w:spacing w:val="-3"/>
          <w:sz w:val="26"/>
          <w:szCs w:val="26"/>
          <w14:ligatures w14:val="none"/>
        </w:rPr>
        <w:pBdr>
          <w:right w:val="none" w:color="000000" w:sz="0" w:space="0"/>
        </w:pBdr>
      </w:pP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  <w:t xml:space="preserve">3. О результатах проведения анализа правоприменительной практики по результатам вступивших в законную силу решений судов, арбитражных судов о при</w:t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  <w:t xml:space="preserve">знании недействительными ненормативных правовых актов, незаконными решений и действий (бездействия) Департамента ветеринарии Томской области (далее – Департамент) и его должностных лиц в целях выработки и принятия мер по предупреждению и устранению причин </w:t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  <w:t xml:space="preserve">выявленных нарушений.</w:t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</w:r>
    </w:p>
    <w:p>
      <w:pPr>
        <w:ind w:firstLine="709"/>
        <w:jc w:val="both"/>
        <w:rPr>
          <w:rStyle w:val="851"/>
          <w:rFonts w:ascii="PT Astra Serif" w:hAnsi="PT Astra Serif" w:eastAsia="Courier New" w:cs="Times New Roman"/>
          <w:spacing w:val="-3"/>
          <w:sz w:val="26"/>
          <w:szCs w:val="26"/>
          <w14:ligatures w14:val="none"/>
        </w:rPr>
        <w:pBdr>
          <w:right w:val="none" w:color="000000" w:sz="0" w:space="0"/>
        </w:pBdr>
      </w:pP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  <w:t xml:space="preserve">4.</w:t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  <w:t xml:space="preserve"> </w:t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  <w:t xml:space="preserve">О результатах провер</w:t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  <w:t xml:space="preserve">ки в отношении государственных гражданских служащих </w:t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  <w:t xml:space="preserve">Департамента</w:t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  <w:t xml:space="preserve"> на предмет соблюдения ими запретов и ограничений, установленных для государственных служащих</w:t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  <w:t xml:space="preserve">.</w:t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</w:r>
    </w:p>
    <w:p>
      <w:pPr>
        <w:ind w:firstLine="709"/>
        <w:jc w:val="both"/>
        <w:rPr>
          <w:rStyle w:val="851"/>
          <w:rFonts w:ascii="PT Astra Serif" w:hAnsi="PT Astra Serif" w:eastAsia="Courier New" w:cs="Times New Roman"/>
          <w:spacing w:val="-3"/>
          <w:sz w:val="26"/>
          <w:szCs w:val="26"/>
          <w14:ligatures w14:val="none"/>
        </w:rPr>
        <w:pBdr>
          <w:right w:val="none" w:color="000000" w:sz="0" w:space="0"/>
        </w:pBdr>
      </w:pP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  <w:t xml:space="preserve">5.</w:t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  <w:t xml:space="preserve"> </w:t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  <w:t xml:space="preserve">О рассмотрении</w:t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  <w:t xml:space="preserve"> доклада о результатах проведения </w:t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  <w:lang w:eastAsia="ru-RU"/>
        </w:rPr>
        <w:t xml:space="preserve">анализа сведений, содержащихся в анкетах лиц, представляемых при назначении на должности государственной гражданской службы Томской области, об их родственниках и свойственниках в целях выявления возможного конфликта интересов</w:t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  <w:t xml:space="preserve">.</w:t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</w:r>
    </w:p>
    <w:p>
      <w:pPr>
        <w:ind w:firstLine="709"/>
        <w:jc w:val="both"/>
        <w:rPr>
          <w:rStyle w:val="851"/>
          <w:rFonts w:ascii="PT Astra Serif" w:hAnsi="PT Astra Serif" w:eastAsia="Courier New" w:cs="Times New Roman"/>
          <w:spacing w:val="-3"/>
          <w:sz w:val="26"/>
          <w:szCs w:val="26"/>
          <w14:ligatures w14:val="none"/>
        </w:rPr>
        <w:pBdr>
          <w:right w:val="none" w:color="000000" w:sz="0" w:space="0"/>
        </w:pBdr>
      </w:pP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  <w:t xml:space="preserve">6.</w:t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  <w:t xml:space="preserve"> </w:t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  <w:lang w:eastAsia="ru-RU"/>
        </w:rPr>
        <w:t xml:space="preserve">О </w:t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  <w:lang w:eastAsia="ru-RU"/>
        </w:rPr>
        <w:t xml:space="preserve">результат</w:t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  <w:lang w:eastAsia="ru-RU"/>
        </w:rPr>
        <w:t xml:space="preserve">ах</w:t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  <w:lang w:eastAsia="ru-RU"/>
        </w:rPr>
        <w:t xml:space="preserve"> </w:t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  <w:lang w:eastAsia="ru-RU"/>
        </w:rPr>
        <w:t xml:space="preserve">мониторинга информации о коррупционных проявлениях в деятельности должностных лиц, размещенной в СМИ и содержащейся в поступающих обр</w:t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  <w:lang w:eastAsia="ru-RU"/>
        </w:rPr>
        <w:t xml:space="preserve">ащениях граждан и юридических лиц, с обобщением</w:t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  <w:t xml:space="preserve">.</w:t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</w:r>
    </w:p>
    <w:p>
      <w:pPr>
        <w:ind w:firstLine="709"/>
        <w:jc w:val="both"/>
        <w:rPr>
          <w:rStyle w:val="851"/>
          <w:rFonts w:ascii="PT Astra Serif" w:hAnsi="PT Astra Serif" w:eastAsia="Courier New" w:cs="Times New Roman"/>
          <w:spacing w:val="-3"/>
          <w:sz w:val="26"/>
          <w:szCs w:val="26"/>
          <w14:ligatures w14:val="none"/>
        </w:rPr>
        <w:pBdr>
          <w:right w:val="none" w:color="000000" w:sz="0" w:space="0"/>
        </w:pBdr>
      </w:pP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  <w:t xml:space="preserve">7.</w:t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  <w:t xml:space="preserve"> </w:t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  <w:lang w:eastAsia="ru-RU"/>
        </w:rPr>
        <w:t xml:space="preserve">Об утвержден</w:t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  <w:lang w:eastAsia="ru-RU"/>
        </w:rPr>
        <w:t xml:space="preserve">ии плана заседаний Комиссии на 2026</w:t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  <w:lang w:eastAsia="ru-RU"/>
        </w:rPr>
        <w:t xml:space="preserve"> год</w:t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  <w:t xml:space="preserve">.</w:t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</w:r>
    </w:p>
    <w:p>
      <w:pPr>
        <w:pStyle w:val="818"/>
        <w:jc w:val="both"/>
        <w:rPr>
          <w:rFonts w:ascii="PT Astra Serif" w:hAnsi="PT Astra Serif" w:cs="Times New Roman"/>
          <w:b/>
          <w:sz w:val="16"/>
          <w:szCs w:val="16"/>
        </w:rPr>
      </w:pPr>
      <w:r>
        <w:rPr>
          <w:rFonts w:ascii="PT Astra Serif" w:hAnsi="PT Astra Serif" w:cs="Times New Roman"/>
          <w:b/>
          <w:sz w:val="16"/>
          <w:szCs w:val="16"/>
        </w:rPr>
      </w:r>
      <w:r/>
    </w:p>
    <w:p>
      <w:pPr>
        <w:pStyle w:val="818"/>
        <w:jc w:val="both"/>
        <w:rPr>
          <w:rStyle w:val="851"/>
          <w:rFonts w:ascii="PT Astra Serif" w:hAnsi="PT Astra Serif" w:eastAsia="Courier New" w:cs="Times New Roman"/>
          <w:bCs/>
          <w:spacing w:val="-3"/>
          <w:sz w:val="26"/>
          <w:szCs w:val="26"/>
        </w:rPr>
        <w:pBdr>
          <w:right w:val="none" w:color="000000" w:sz="0" w:space="2"/>
        </w:pBdr>
      </w:pPr>
      <w:r>
        <w:rPr>
          <w:rFonts w:ascii="PT Astra Serif" w:hAnsi="PT Astra Serif" w:cs="Times New Roman"/>
          <w:b/>
          <w:bCs/>
          <w:sz w:val="26"/>
          <w:szCs w:val="26"/>
        </w:rPr>
        <w:t xml:space="preserve">Комиссия РЕШИЛА:</w:t>
      </w:r>
      <w:r>
        <w:rPr>
          <w:rStyle w:val="851"/>
          <w:rFonts w:ascii="PT Astra Serif" w:hAnsi="PT Astra Serif" w:eastAsia="Courier New" w:cs="Times New Roman"/>
          <w:bCs/>
          <w:spacing w:val="-3"/>
          <w:sz w:val="26"/>
          <w:szCs w:val="26"/>
        </w:rPr>
        <w:t xml:space="preserve"> </w:t>
      </w:r>
      <w:r>
        <w:rPr>
          <w:rStyle w:val="851"/>
          <w:rFonts w:ascii="PT Astra Serif" w:hAnsi="PT Astra Serif" w:eastAsia="Courier New" w:cs="Times New Roman"/>
          <w:bCs/>
          <w:spacing w:val="-3"/>
          <w:sz w:val="26"/>
          <w:szCs w:val="26"/>
        </w:rPr>
      </w:r>
      <w:r/>
    </w:p>
    <w:p>
      <w:pPr>
        <w:ind w:firstLine="709"/>
        <w:jc w:val="both"/>
        <w:rPr>
          <w:rStyle w:val="851"/>
          <w:rFonts w:ascii="PT Astra Serif" w:hAnsi="PT Astra Serif" w:eastAsia="Courier New" w:cs="Times New Roman"/>
          <w:sz w:val="26"/>
          <w:szCs w:val="26"/>
          <w:lang w:eastAsia="ru-RU"/>
          <w14:ligatures w14:val="none"/>
        </w:rPr>
        <w:pBdr>
          <w:right w:val="none" w:color="000000" w:sz="0" w:space="0"/>
        </w:pBdr>
      </w:pP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  <w:lang w:eastAsia="ru-RU"/>
        </w:rPr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  <w:lang w:eastAsia="ru-RU"/>
        </w:rPr>
        <w:t xml:space="preserve">По 1-</w:t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  <w:lang w:eastAsia="ru-RU"/>
        </w:rPr>
        <w:t xml:space="preserve">6 вопросам: представленную информацию принять к сведению.</w:t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  <w:lang w:eastAsia="ru-RU"/>
        </w:rPr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  <w:lang w:eastAsia="ru-RU"/>
        </w:rPr>
      </w:r>
    </w:p>
    <w:p>
      <w:pPr>
        <w:ind w:firstLine="709"/>
        <w:jc w:val="both"/>
        <w:rPr>
          <w:rStyle w:val="851"/>
          <w:rFonts w:ascii="PT Astra Serif" w:hAnsi="PT Astra Serif" w:eastAsia="Courier New" w:cs="Times New Roman"/>
          <w:spacing w:val="-3"/>
          <w:sz w:val="26"/>
          <w:szCs w:val="26"/>
          <w:lang w:eastAsia="ru-RU"/>
          <w14:ligatures w14:val="none"/>
        </w:rPr>
        <w:pBdr>
          <w:right w:val="none" w:color="000000" w:sz="0" w:space="0"/>
        </w:pBdr>
      </w:pP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  <w:lang w:eastAsia="ru-RU"/>
        </w:rPr>
        <w:t xml:space="preserve">По 7</w:t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  <w:lang w:eastAsia="ru-RU"/>
        </w:rPr>
        <w:t xml:space="preserve"> вопросу</w:t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  <w:lang w:eastAsia="ru-RU"/>
        </w:rPr>
        <w:t xml:space="preserve">: </w:t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  <w:lang w:eastAsia="ru-RU"/>
        </w:rPr>
        <w:t xml:space="preserve">утвердить</w:t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  <w:lang w:eastAsia="ru-RU"/>
        </w:rPr>
        <w:t xml:space="preserve"> </w:t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  <w:lang w:eastAsia="ru-RU"/>
        </w:rPr>
        <w:t xml:space="preserve">п</w:t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  <w:lang w:eastAsia="ru-RU"/>
        </w:rPr>
        <w:t xml:space="preserve">лан</w:t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  <w:lang w:eastAsia="ru-RU"/>
        </w:rPr>
        <w:t xml:space="preserve"> </w:t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  <w:lang w:eastAsia="ru-RU"/>
        </w:rPr>
        <w:t xml:space="preserve">заседаний Комиссии на 2026</w:t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  <w:lang w:eastAsia="ru-RU"/>
        </w:rPr>
        <w:t xml:space="preserve"> год</w:t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  <w:lang w:eastAsia="ru-RU"/>
        </w:rPr>
        <w:t xml:space="preserve">.</w:t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  <w:lang w:eastAsia="ru-RU"/>
        </w:rPr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  <w:lang w:eastAsia="ru-RU"/>
        </w:rPr>
      </w:r>
    </w:p>
    <w:sectPr>
      <w:footnotePr/>
      <w:endnotePr/>
      <w:type w:val="nextPage"/>
      <w:pgSz w:w="11906" w:h="16838" w:orient="portrait"/>
      <w:pgMar w:top="709" w:right="851" w:bottom="737" w:left="1134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Microsoft YaHei">
    <w:panose1 w:val="020B0503020204020204"/>
  </w:font>
  <w:font w:name="Times New Roman">
    <w:panose1 w:val="02020603050405020304"/>
  </w:font>
  <w:font w:name="SimSun">
    <w:panose1 w:val="02010600030101010101"/>
  </w:font>
  <w:font w:name="Liberation Serif">
    <w:panose1 w:val="02020603050405020304"/>
  </w:font>
  <w:font w:name="Lucida Sans Unicode">
    <w:panose1 w:val="020B0602030504020204"/>
  </w:font>
  <w:font w:name="Courier New">
    <w:panose1 w:val="02070309020205020404"/>
  </w:font>
  <w:font w:name="OpenSymbol">
    <w:panose1 w:val="05010000000000000000"/>
  </w:font>
  <w:font w:name="Mangal">
    <w:panose1 w:val="02040503050406030204"/>
  </w:font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pStyle w:val="819"/>
      <w:isLgl w:val="false"/>
      <w:suff w:val="nothing"/>
      <w:lvlText w:val=""/>
      <w:lvlJc w:val="left"/>
      <w:pPr>
        <w:pStyle w:val="818"/>
        <w:ind w:left="0" w:firstLine="0"/>
        <w:tabs>
          <w:tab w:val="num" w:pos="0" w:leader="none"/>
        </w:tabs>
      </w:pPr>
    </w:lvl>
    <w:lvl w:ilvl="1">
      <w:start w:val="1"/>
      <w:numFmt w:val="decimal"/>
      <w:isLgl w:val="false"/>
      <w:suff w:val="nothing"/>
      <w:lvlText w:val=""/>
      <w:lvlJc w:val="left"/>
      <w:pPr>
        <w:pStyle w:val="818"/>
        <w:ind w:left="0" w:firstLine="0"/>
        <w:tabs>
          <w:tab w:val="num" w:pos="0" w:leader="none"/>
        </w:tabs>
      </w:pPr>
    </w:lvl>
    <w:lvl w:ilvl="2">
      <w:start w:val="1"/>
      <w:numFmt w:val="decimal"/>
      <w:isLgl w:val="false"/>
      <w:suff w:val="nothing"/>
      <w:lvlText w:val=""/>
      <w:lvlJc w:val="left"/>
      <w:pPr>
        <w:pStyle w:val="818"/>
        <w:ind w:left="0" w:firstLine="0"/>
        <w:tabs>
          <w:tab w:val="num" w:pos="0" w:leader="none"/>
        </w:tabs>
      </w:pPr>
    </w:lvl>
    <w:lvl w:ilvl="3">
      <w:start w:val="1"/>
      <w:numFmt w:val="decimal"/>
      <w:isLgl w:val="false"/>
      <w:suff w:val="nothing"/>
      <w:lvlText w:val=""/>
      <w:lvlJc w:val="left"/>
      <w:pPr>
        <w:pStyle w:val="818"/>
        <w:ind w:left="0" w:firstLine="0"/>
        <w:tabs>
          <w:tab w:val="num" w:pos="0" w:leader="none"/>
        </w:tabs>
      </w:pPr>
    </w:lvl>
    <w:lvl w:ilvl="4">
      <w:start w:val="1"/>
      <w:numFmt w:val="decimal"/>
      <w:isLgl w:val="false"/>
      <w:suff w:val="nothing"/>
      <w:lvlText w:val=""/>
      <w:lvlJc w:val="left"/>
      <w:pPr>
        <w:pStyle w:val="818"/>
        <w:ind w:left="0" w:firstLine="0"/>
        <w:tabs>
          <w:tab w:val="num" w:pos="0" w:leader="none"/>
        </w:tabs>
      </w:pPr>
    </w:lvl>
    <w:lvl w:ilvl="5">
      <w:start w:val="1"/>
      <w:numFmt w:val="decimal"/>
      <w:isLgl w:val="false"/>
      <w:suff w:val="nothing"/>
      <w:lvlText w:val=""/>
      <w:lvlJc w:val="left"/>
      <w:pPr>
        <w:pStyle w:val="818"/>
        <w:ind w:left="0" w:firstLine="0"/>
        <w:tabs>
          <w:tab w:val="num" w:pos="0" w:leader="none"/>
        </w:tabs>
      </w:pPr>
    </w:lvl>
    <w:lvl w:ilvl="6">
      <w:start w:val="1"/>
      <w:numFmt w:val="decimal"/>
      <w:isLgl w:val="false"/>
      <w:suff w:val="nothing"/>
      <w:lvlText w:val=""/>
      <w:lvlJc w:val="left"/>
      <w:pPr>
        <w:pStyle w:val="818"/>
        <w:ind w:left="0" w:firstLine="0"/>
        <w:tabs>
          <w:tab w:val="num" w:pos="0" w:leader="none"/>
        </w:tabs>
      </w:pPr>
    </w:lvl>
    <w:lvl w:ilvl="7">
      <w:start w:val="1"/>
      <w:numFmt w:val="decimal"/>
      <w:isLgl w:val="false"/>
      <w:suff w:val="nothing"/>
      <w:lvlText w:val=""/>
      <w:lvlJc w:val="left"/>
      <w:pPr>
        <w:pStyle w:val="818"/>
        <w:ind w:left="0" w:firstLine="0"/>
        <w:tabs>
          <w:tab w:val="num" w:pos="0" w:leader="none"/>
        </w:tabs>
      </w:pPr>
    </w:lvl>
    <w:lvl w:ilvl="8">
      <w:start w:val="1"/>
      <w:numFmt w:val="decimal"/>
      <w:isLgl w:val="false"/>
      <w:suff w:val="nothing"/>
      <w:lvlText w:val=""/>
      <w:lvlJc w:val="left"/>
      <w:pPr>
        <w:pStyle w:val="818"/>
        <w:ind w:left="0" w:firstLine="0"/>
        <w:tabs>
          <w:tab w:val="num" w:pos="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18"/>
        <w:ind w:left="1684" w:hanging="975"/>
      </w:pPr>
    </w:lvl>
    <w:lvl w:ilvl="1">
      <w:start w:val="1"/>
      <w:numFmt w:val="lowerLetter"/>
      <w:isLgl w:val="false"/>
      <w:suff w:val="tab"/>
      <w:lvlText w:val="%2."/>
      <w:lvlJc w:val="left"/>
      <w:pPr>
        <w:pStyle w:val="818"/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818"/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818"/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818"/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818"/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818"/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818"/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818"/>
        <w:ind w:left="682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18"/>
        <w:ind w:left="106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818"/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818"/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818"/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818"/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818"/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818"/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818"/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818"/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0">
    <w:name w:val="Heading 1"/>
    <w:basedOn w:val="818"/>
    <w:next w:val="818"/>
    <w:link w:val="641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1">
    <w:name w:val="Heading 1 Char"/>
    <w:link w:val="640"/>
    <w:uiPriority w:val="9"/>
    <w:rPr>
      <w:rFonts w:ascii="Arial" w:hAnsi="Arial" w:eastAsia="Arial" w:cs="Arial"/>
      <w:sz w:val="40"/>
      <w:szCs w:val="40"/>
    </w:rPr>
  </w:style>
  <w:style w:type="paragraph" w:styleId="642">
    <w:name w:val="Heading 2"/>
    <w:basedOn w:val="818"/>
    <w:next w:val="818"/>
    <w:link w:val="643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3">
    <w:name w:val="Heading 2 Char"/>
    <w:link w:val="642"/>
    <w:uiPriority w:val="9"/>
    <w:rPr>
      <w:rFonts w:ascii="Arial" w:hAnsi="Arial" w:eastAsia="Arial" w:cs="Arial"/>
      <w:sz w:val="34"/>
    </w:rPr>
  </w:style>
  <w:style w:type="paragraph" w:styleId="644">
    <w:name w:val="Heading 3"/>
    <w:basedOn w:val="818"/>
    <w:next w:val="818"/>
    <w:link w:val="64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5">
    <w:name w:val="Heading 3 Char"/>
    <w:link w:val="644"/>
    <w:uiPriority w:val="9"/>
    <w:rPr>
      <w:rFonts w:ascii="Arial" w:hAnsi="Arial" w:eastAsia="Arial" w:cs="Arial"/>
      <w:sz w:val="30"/>
      <w:szCs w:val="30"/>
    </w:rPr>
  </w:style>
  <w:style w:type="paragraph" w:styleId="646">
    <w:name w:val="Heading 4"/>
    <w:basedOn w:val="818"/>
    <w:next w:val="818"/>
    <w:link w:val="647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7">
    <w:name w:val="Heading 4 Char"/>
    <w:link w:val="646"/>
    <w:uiPriority w:val="9"/>
    <w:rPr>
      <w:rFonts w:ascii="Arial" w:hAnsi="Arial" w:eastAsia="Arial" w:cs="Arial"/>
      <w:b/>
      <w:bCs/>
      <w:sz w:val="26"/>
      <w:szCs w:val="26"/>
    </w:rPr>
  </w:style>
  <w:style w:type="paragraph" w:styleId="648">
    <w:name w:val="Heading 5"/>
    <w:basedOn w:val="818"/>
    <w:next w:val="818"/>
    <w:link w:val="64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49">
    <w:name w:val="Heading 5 Char"/>
    <w:link w:val="648"/>
    <w:uiPriority w:val="9"/>
    <w:rPr>
      <w:rFonts w:ascii="Arial" w:hAnsi="Arial" w:eastAsia="Arial" w:cs="Arial"/>
      <w:b/>
      <w:bCs/>
      <w:sz w:val="24"/>
      <w:szCs w:val="24"/>
    </w:rPr>
  </w:style>
  <w:style w:type="paragraph" w:styleId="650">
    <w:name w:val="Heading 6"/>
    <w:basedOn w:val="818"/>
    <w:next w:val="818"/>
    <w:link w:val="65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1">
    <w:name w:val="Heading 6 Char"/>
    <w:link w:val="650"/>
    <w:uiPriority w:val="9"/>
    <w:rPr>
      <w:rFonts w:ascii="Arial" w:hAnsi="Arial" w:eastAsia="Arial" w:cs="Arial"/>
      <w:b/>
      <w:bCs/>
      <w:sz w:val="22"/>
      <w:szCs w:val="22"/>
    </w:rPr>
  </w:style>
  <w:style w:type="paragraph" w:styleId="652">
    <w:name w:val="Heading 7"/>
    <w:basedOn w:val="818"/>
    <w:next w:val="818"/>
    <w:link w:val="65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3">
    <w:name w:val="Heading 7 Char"/>
    <w:link w:val="65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4">
    <w:name w:val="Heading 8"/>
    <w:basedOn w:val="818"/>
    <w:next w:val="818"/>
    <w:link w:val="65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5">
    <w:name w:val="Heading 8 Char"/>
    <w:link w:val="654"/>
    <w:uiPriority w:val="9"/>
    <w:rPr>
      <w:rFonts w:ascii="Arial" w:hAnsi="Arial" w:eastAsia="Arial" w:cs="Arial"/>
      <w:i/>
      <w:iCs/>
      <w:sz w:val="22"/>
      <w:szCs w:val="22"/>
    </w:rPr>
  </w:style>
  <w:style w:type="paragraph" w:styleId="656">
    <w:name w:val="Heading 9"/>
    <w:basedOn w:val="818"/>
    <w:next w:val="818"/>
    <w:link w:val="65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7">
    <w:name w:val="Heading 9 Char"/>
    <w:link w:val="656"/>
    <w:uiPriority w:val="9"/>
    <w:rPr>
      <w:rFonts w:ascii="Arial" w:hAnsi="Arial" w:eastAsia="Arial" w:cs="Arial"/>
      <w:i/>
      <w:iCs/>
      <w:sz w:val="21"/>
      <w:szCs w:val="21"/>
    </w:rPr>
  </w:style>
  <w:style w:type="paragraph" w:styleId="658">
    <w:name w:val="List Paragraph"/>
    <w:basedOn w:val="818"/>
    <w:uiPriority w:val="34"/>
    <w:qFormat/>
    <w:pPr>
      <w:contextualSpacing/>
      <w:ind w:left="720"/>
    </w:pPr>
  </w:style>
  <w:style w:type="paragraph" w:styleId="659">
    <w:name w:val="No Spacing"/>
    <w:uiPriority w:val="1"/>
    <w:qFormat/>
    <w:pPr>
      <w:spacing w:before="0" w:after="0" w:line="240" w:lineRule="auto"/>
    </w:pPr>
  </w:style>
  <w:style w:type="paragraph" w:styleId="660">
    <w:name w:val="Title"/>
    <w:basedOn w:val="818"/>
    <w:next w:val="818"/>
    <w:link w:val="66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1">
    <w:name w:val="Title Char"/>
    <w:link w:val="660"/>
    <w:uiPriority w:val="10"/>
    <w:rPr>
      <w:sz w:val="48"/>
      <w:szCs w:val="48"/>
    </w:rPr>
  </w:style>
  <w:style w:type="paragraph" w:styleId="662">
    <w:name w:val="Subtitle"/>
    <w:basedOn w:val="818"/>
    <w:next w:val="818"/>
    <w:link w:val="663"/>
    <w:uiPriority w:val="11"/>
    <w:qFormat/>
    <w:pPr>
      <w:spacing w:before="200" w:after="200"/>
    </w:pPr>
    <w:rPr>
      <w:sz w:val="24"/>
      <w:szCs w:val="24"/>
    </w:rPr>
  </w:style>
  <w:style w:type="character" w:styleId="663">
    <w:name w:val="Subtitle Char"/>
    <w:link w:val="662"/>
    <w:uiPriority w:val="11"/>
    <w:rPr>
      <w:sz w:val="24"/>
      <w:szCs w:val="24"/>
    </w:rPr>
  </w:style>
  <w:style w:type="paragraph" w:styleId="664">
    <w:name w:val="Quote"/>
    <w:basedOn w:val="818"/>
    <w:next w:val="818"/>
    <w:link w:val="665"/>
    <w:uiPriority w:val="29"/>
    <w:qFormat/>
    <w:pPr>
      <w:ind w:left="720" w:right="720"/>
    </w:pPr>
    <w:rPr>
      <w:i/>
    </w:rPr>
  </w:style>
  <w:style w:type="character" w:styleId="665">
    <w:name w:val="Quote Char"/>
    <w:link w:val="664"/>
    <w:uiPriority w:val="29"/>
    <w:rPr>
      <w:i/>
    </w:rPr>
  </w:style>
  <w:style w:type="paragraph" w:styleId="666">
    <w:name w:val="Intense Quote"/>
    <w:basedOn w:val="818"/>
    <w:next w:val="818"/>
    <w:link w:val="66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7">
    <w:name w:val="Intense Quote Char"/>
    <w:link w:val="666"/>
    <w:uiPriority w:val="30"/>
    <w:rPr>
      <w:i/>
    </w:rPr>
  </w:style>
  <w:style w:type="paragraph" w:styleId="668">
    <w:name w:val="Header"/>
    <w:basedOn w:val="818"/>
    <w:link w:val="66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9">
    <w:name w:val="Header Char"/>
    <w:link w:val="668"/>
    <w:uiPriority w:val="99"/>
  </w:style>
  <w:style w:type="paragraph" w:styleId="670">
    <w:name w:val="Footer"/>
    <w:basedOn w:val="818"/>
    <w:link w:val="67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1">
    <w:name w:val="Footer Char"/>
    <w:link w:val="670"/>
    <w:uiPriority w:val="99"/>
  </w:style>
  <w:style w:type="paragraph" w:styleId="672">
    <w:name w:val="Caption"/>
    <w:basedOn w:val="818"/>
    <w:next w:val="81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3">
    <w:name w:val="Caption Char"/>
    <w:basedOn w:val="672"/>
    <w:link w:val="670"/>
    <w:uiPriority w:val="99"/>
  </w:style>
  <w:style w:type="table" w:styleId="674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5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74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75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76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77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78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79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81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82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83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84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88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89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0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1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00">
    <w:name w:val="Hyperlink"/>
    <w:uiPriority w:val="99"/>
    <w:unhideWhenUsed/>
    <w:rPr>
      <w:color w:val="0000ff" w:themeColor="hyperlink"/>
      <w:u w:val="single"/>
    </w:rPr>
  </w:style>
  <w:style w:type="paragraph" w:styleId="801">
    <w:name w:val="footnote text"/>
    <w:basedOn w:val="818"/>
    <w:link w:val="802"/>
    <w:uiPriority w:val="99"/>
    <w:semiHidden/>
    <w:unhideWhenUsed/>
    <w:pPr>
      <w:spacing w:after="40" w:line="240" w:lineRule="auto"/>
    </w:pPr>
    <w:rPr>
      <w:sz w:val="18"/>
    </w:rPr>
  </w:style>
  <w:style w:type="character" w:styleId="802">
    <w:name w:val="Footnote Text Char"/>
    <w:link w:val="801"/>
    <w:uiPriority w:val="99"/>
    <w:rPr>
      <w:sz w:val="18"/>
    </w:rPr>
  </w:style>
  <w:style w:type="character" w:styleId="803">
    <w:name w:val="footnote reference"/>
    <w:uiPriority w:val="99"/>
    <w:unhideWhenUsed/>
    <w:rPr>
      <w:vertAlign w:val="superscript"/>
    </w:rPr>
  </w:style>
  <w:style w:type="paragraph" w:styleId="804">
    <w:name w:val="endnote text"/>
    <w:basedOn w:val="818"/>
    <w:link w:val="805"/>
    <w:uiPriority w:val="99"/>
    <w:semiHidden/>
    <w:unhideWhenUsed/>
    <w:pPr>
      <w:spacing w:after="0" w:line="240" w:lineRule="auto"/>
    </w:pPr>
    <w:rPr>
      <w:sz w:val="20"/>
    </w:rPr>
  </w:style>
  <w:style w:type="character" w:styleId="805">
    <w:name w:val="Endnote Text Char"/>
    <w:link w:val="804"/>
    <w:uiPriority w:val="99"/>
    <w:rPr>
      <w:sz w:val="20"/>
    </w:rPr>
  </w:style>
  <w:style w:type="character" w:styleId="806">
    <w:name w:val="endnote reference"/>
    <w:uiPriority w:val="99"/>
    <w:semiHidden/>
    <w:unhideWhenUsed/>
    <w:rPr>
      <w:vertAlign w:val="superscript"/>
    </w:rPr>
  </w:style>
  <w:style w:type="paragraph" w:styleId="807">
    <w:name w:val="toc 1"/>
    <w:basedOn w:val="818"/>
    <w:next w:val="818"/>
    <w:uiPriority w:val="39"/>
    <w:unhideWhenUsed/>
    <w:pPr>
      <w:ind w:left="0" w:right="0" w:firstLine="0"/>
      <w:spacing w:after="57"/>
    </w:pPr>
  </w:style>
  <w:style w:type="paragraph" w:styleId="808">
    <w:name w:val="toc 2"/>
    <w:basedOn w:val="818"/>
    <w:next w:val="818"/>
    <w:uiPriority w:val="39"/>
    <w:unhideWhenUsed/>
    <w:pPr>
      <w:ind w:left="283" w:right="0" w:firstLine="0"/>
      <w:spacing w:after="57"/>
    </w:pPr>
  </w:style>
  <w:style w:type="paragraph" w:styleId="809">
    <w:name w:val="toc 3"/>
    <w:basedOn w:val="818"/>
    <w:next w:val="818"/>
    <w:uiPriority w:val="39"/>
    <w:unhideWhenUsed/>
    <w:pPr>
      <w:ind w:left="567" w:right="0" w:firstLine="0"/>
      <w:spacing w:after="57"/>
    </w:pPr>
  </w:style>
  <w:style w:type="paragraph" w:styleId="810">
    <w:name w:val="toc 4"/>
    <w:basedOn w:val="818"/>
    <w:next w:val="818"/>
    <w:uiPriority w:val="39"/>
    <w:unhideWhenUsed/>
    <w:pPr>
      <w:ind w:left="850" w:right="0" w:firstLine="0"/>
      <w:spacing w:after="57"/>
    </w:pPr>
  </w:style>
  <w:style w:type="paragraph" w:styleId="811">
    <w:name w:val="toc 5"/>
    <w:basedOn w:val="818"/>
    <w:next w:val="818"/>
    <w:uiPriority w:val="39"/>
    <w:unhideWhenUsed/>
    <w:pPr>
      <w:ind w:left="1134" w:right="0" w:firstLine="0"/>
      <w:spacing w:after="57"/>
    </w:pPr>
  </w:style>
  <w:style w:type="paragraph" w:styleId="812">
    <w:name w:val="toc 6"/>
    <w:basedOn w:val="818"/>
    <w:next w:val="818"/>
    <w:uiPriority w:val="39"/>
    <w:unhideWhenUsed/>
    <w:pPr>
      <w:ind w:left="1417" w:right="0" w:firstLine="0"/>
      <w:spacing w:after="57"/>
    </w:pPr>
  </w:style>
  <w:style w:type="paragraph" w:styleId="813">
    <w:name w:val="toc 7"/>
    <w:basedOn w:val="818"/>
    <w:next w:val="818"/>
    <w:uiPriority w:val="39"/>
    <w:unhideWhenUsed/>
    <w:pPr>
      <w:ind w:left="1701" w:right="0" w:firstLine="0"/>
      <w:spacing w:after="57"/>
    </w:pPr>
  </w:style>
  <w:style w:type="paragraph" w:styleId="814">
    <w:name w:val="toc 8"/>
    <w:basedOn w:val="818"/>
    <w:next w:val="818"/>
    <w:uiPriority w:val="39"/>
    <w:unhideWhenUsed/>
    <w:pPr>
      <w:ind w:left="1984" w:right="0" w:firstLine="0"/>
      <w:spacing w:after="57"/>
    </w:pPr>
  </w:style>
  <w:style w:type="paragraph" w:styleId="815">
    <w:name w:val="toc 9"/>
    <w:basedOn w:val="818"/>
    <w:next w:val="818"/>
    <w:uiPriority w:val="39"/>
    <w:unhideWhenUsed/>
    <w:pPr>
      <w:ind w:left="2268" w:right="0" w:firstLine="0"/>
      <w:spacing w:after="57"/>
    </w:pPr>
  </w:style>
  <w:style w:type="paragraph" w:styleId="816">
    <w:name w:val="TOC Heading"/>
    <w:uiPriority w:val="39"/>
    <w:unhideWhenUsed/>
  </w:style>
  <w:style w:type="paragraph" w:styleId="817">
    <w:name w:val="table of figures"/>
    <w:basedOn w:val="818"/>
    <w:next w:val="818"/>
    <w:uiPriority w:val="99"/>
    <w:unhideWhenUsed/>
    <w:pPr>
      <w:spacing w:after="0" w:afterAutospacing="0"/>
    </w:pPr>
  </w:style>
  <w:style w:type="paragraph" w:styleId="818" w:default="1">
    <w:name w:val="Normal"/>
    <w:next w:val="818"/>
    <w:link w:val="818"/>
    <w:qFormat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</w:pPr>
    <w:rPr>
      <w:rFonts w:ascii="Arial" w:hAnsi="Arial" w:eastAsia="Lucida Sans Unicode" w:cs="Mangal"/>
      <w:sz w:val="21"/>
      <w:szCs w:val="24"/>
      <w:lang w:val="ru-RU" w:eastAsia="zh-CN" w:bidi="hi-IN"/>
    </w:rPr>
  </w:style>
  <w:style w:type="paragraph" w:styleId="819">
    <w:name w:val="Заголовок 1"/>
    <w:basedOn w:val="859"/>
    <w:next w:val="860"/>
    <w:link w:val="818"/>
    <w:qFormat/>
    <w:pPr>
      <w:numPr>
        <w:ilvl w:val="0"/>
        <w:numId w:val="1"/>
      </w:num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820">
    <w:name w:val="Основной шрифт абзаца"/>
    <w:next w:val="820"/>
    <w:link w:val="818"/>
    <w:semiHidden/>
  </w:style>
  <w:style w:type="table" w:styleId="821">
    <w:name w:val="Обычная таблица"/>
    <w:next w:val="821"/>
    <w:link w:val="818"/>
    <w:semiHidden/>
    <w:tblPr/>
  </w:style>
  <w:style w:type="numbering" w:styleId="822">
    <w:name w:val="Нет списка"/>
    <w:next w:val="822"/>
    <w:link w:val="818"/>
    <w:semiHidden/>
  </w:style>
  <w:style w:type="character" w:styleId="823">
    <w:name w:val="WW8Num1z0"/>
    <w:next w:val="823"/>
    <w:link w:val="818"/>
  </w:style>
  <w:style w:type="character" w:styleId="824">
    <w:name w:val="WW8Num1z1"/>
    <w:next w:val="824"/>
    <w:link w:val="818"/>
  </w:style>
  <w:style w:type="character" w:styleId="825">
    <w:name w:val="WW8Num1z2"/>
    <w:next w:val="825"/>
    <w:link w:val="818"/>
  </w:style>
  <w:style w:type="character" w:styleId="826">
    <w:name w:val="WW8Num1z3"/>
    <w:next w:val="826"/>
    <w:link w:val="818"/>
  </w:style>
  <w:style w:type="character" w:styleId="827">
    <w:name w:val="WW8Num1z4"/>
    <w:next w:val="827"/>
    <w:link w:val="818"/>
  </w:style>
  <w:style w:type="character" w:styleId="828">
    <w:name w:val="WW8Num1z5"/>
    <w:next w:val="828"/>
    <w:link w:val="818"/>
  </w:style>
  <w:style w:type="character" w:styleId="829">
    <w:name w:val="WW8Num1z6"/>
    <w:next w:val="829"/>
    <w:link w:val="818"/>
  </w:style>
  <w:style w:type="character" w:styleId="830">
    <w:name w:val="WW8Num1z7"/>
    <w:next w:val="830"/>
    <w:link w:val="818"/>
  </w:style>
  <w:style w:type="character" w:styleId="831">
    <w:name w:val="WW8Num1z8"/>
    <w:next w:val="831"/>
    <w:link w:val="818"/>
  </w:style>
  <w:style w:type="character" w:styleId="832">
    <w:name w:val="WW8Num2z0"/>
    <w:next w:val="832"/>
    <w:link w:val="818"/>
  </w:style>
  <w:style w:type="character" w:styleId="833">
    <w:name w:val="WW8Num2z1"/>
    <w:next w:val="833"/>
    <w:link w:val="818"/>
  </w:style>
  <w:style w:type="character" w:styleId="834">
    <w:name w:val="WW8Num2z2"/>
    <w:next w:val="834"/>
    <w:link w:val="818"/>
  </w:style>
  <w:style w:type="character" w:styleId="835">
    <w:name w:val="WW8Num2z3"/>
    <w:next w:val="835"/>
    <w:link w:val="818"/>
  </w:style>
  <w:style w:type="character" w:styleId="836">
    <w:name w:val="WW8Num2z4"/>
    <w:next w:val="836"/>
    <w:link w:val="818"/>
  </w:style>
  <w:style w:type="character" w:styleId="837">
    <w:name w:val="WW8Num2z5"/>
    <w:next w:val="837"/>
    <w:link w:val="818"/>
  </w:style>
  <w:style w:type="character" w:styleId="838">
    <w:name w:val="WW8Num2z6"/>
    <w:next w:val="838"/>
    <w:link w:val="818"/>
  </w:style>
  <w:style w:type="character" w:styleId="839">
    <w:name w:val="WW8Num2z7"/>
    <w:next w:val="839"/>
    <w:link w:val="818"/>
  </w:style>
  <w:style w:type="character" w:styleId="840">
    <w:name w:val="WW8Num2z8"/>
    <w:next w:val="840"/>
    <w:link w:val="818"/>
  </w:style>
  <w:style w:type="character" w:styleId="841">
    <w:name w:val="WW8Num3z0"/>
    <w:next w:val="841"/>
    <w:link w:val="818"/>
  </w:style>
  <w:style w:type="character" w:styleId="842">
    <w:name w:val="WW8Num3z1"/>
    <w:next w:val="842"/>
    <w:link w:val="818"/>
  </w:style>
  <w:style w:type="character" w:styleId="843">
    <w:name w:val="WW8Num3z2"/>
    <w:next w:val="843"/>
    <w:link w:val="818"/>
  </w:style>
  <w:style w:type="character" w:styleId="844">
    <w:name w:val="WW8Num3z3"/>
    <w:next w:val="844"/>
    <w:link w:val="818"/>
  </w:style>
  <w:style w:type="character" w:styleId="845">
    <w:name w:val="WW8Num3z4"/>
    <w:next w:val="845"/>
    <w:link w:val="818"/>
  </w:style>
  <w:style w:type="character" w:styleId="846">
    <w:name w:val="WW8Num3z5"/>
    <w:next w:val="846"/>
    <w:link w:val="818"/>
  </w:style>
  <w:style w:type="character" w:styleId="847">
    <w:name w:val="WW8Num3z6"/>
    <w:next w:val="847"/>
    <w:link w:val="818"/>
  </w:style>
  <w:style w:type="character" w:styleId="848">
    <w:name w:val="WW8Num3z7"/>
    <w:next w:val="848"/>
    <w:link w:val="818"/>
  </w:style>
  <w:style w:type="character" w:styleId="849">
    <w:name w:val="WW8Num3z8"/>
    <w:next w:val="849"/>
    <w:link w:val="818"/>
  </w:style>
  <w:style w:type="character" w:styleId="850">
    <w:name w:val="Основной шрифт абзаца3"/>
    <w:next w:val="850"/>
    <w:link w:val="818"/>
  </w:style>
  <w:style w:type="character" w:styleId="851">
    <w:name w:val="Основной шрифт абзаца2"/>
    <w:next w:val="851"/>
    <w:link w:val="818"/>
  </w:style>
  <w:style w:type="character" w:styleId="852">
    <w:name w:val="RTF_Num 2 1"/>
    <w:next w:val="852"/>
    <w:link w:val="818"/>
    <w:rPr>
      <w:rFonts w:ascii="Times New Roman" w:hAnsi="Times New Roman" w:cs="Times New Roman"/>
    </w:rPr>
  </w:style>
  <w:style w:type="character" w:styleId="853">
    <w:name w:val="Символ нумерации"/>
    <w:next w:val="853"/>
    <w:link w:val="818"/>
  </w:style>
  <w:style w:type="character" w:styleId="854">
    <w:name w:val="Маркеры списка"/>
    <w:next w:val="854"/>
    <w:link w:val="818"/>
    <w:rPr>
      <w:rFonts w:ascii="OpenSymbol" w:hAnsi="OpenSymbol" w:eastAsia="OpenSymbol" w:cs="OpenSymbol"/>
    </w:rPr>
  </w:style>
  <w:style w:type="character" w:styleId="855">
    <w:name w:val="Строгий"/>
    <w:next w:val="855"/>
    <w:link w:val="818"/>
    <w:uiPriority w:val="22"/>
    <w:qFormat/>
    <w:rPr>
      <w:b/>
      <w:bCs/>
    </w:rPr>
  </w:style>
  <w:style w:type="character" w:styleId="856">
    <w:name w:val="WW_CharLFO1LVL1"/>
    <w:next w:val="856"/>
    <w:link w:val="818"/>
    <w:rPr>
      <w:rFonts w:ascii="Times New Roman" w:hAnsi="Times New Roman" w:cs="Times New Roman"/>
    </w:rPr>
  </w:style>
  <w:style w:type="character" w:styleId="857">
    <w:name w:val="Основной шрифт абзаца1"/>
    <w:next w:val="857"/>
    <w:link w:val="818"/>
  </w:style>
  <w:style w:type="character" w:styleId="858">
    <w:name w:val="Гиперссылка"/>
    <w:next w:val="858"/>
    <w:link w:val="818"/>
    <w:rPr>
      <w:color w:val="000080"/>
      <w:u w:val="single"/>
      <w:lang w:val="en-US" w:eastAsia="en-US" w:bidi="en-US"/>
    </w:rPr>
  </w:style>
  <w:style w:type="paragraph" w:styleId="859">
    <w:name w:val="Заголовок"/>
    <w:basedOn w:val="818"/>
    <w:next w:val="860"/>
    <w:link w:val="818"/>
    <w:pPr>
      <w:keepNext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860">
    <w:name w:val="Основной текст"/>
    <w:basedOn w:val="818"/>
    <w:next w:val="860"/>
    <w:link w:val="883"/>
    <w:pPr>
      <w:spacing w:before="0" w:after="120"/>
    </w:pPr>
  </w:style>
  <w:style w:type="paragraph" w:styleId="861">
    <w:name w:val="Список"/>
    <w:basedOn w:val="860"/>
    <w:next w:val="861"/>
    <w:link w:val="818"/>
    <w:rPr>
      <w:sz w:val="24"/>
    </w:rPr>
  </w:style>
  <w:style w:type="paragraph" w:styleId="862">
    <w:name w:val="Название объекта"/>
    <w:basedOn w:val="818"/>
    <w:next w:val="862"/>
    <w:link w:val="818"/>
    <w:qFormat/>
    <w:pPr>
      <w:spacing w:before="120" w:after="120"/>
      <w:suppressLineNumbers/>
    </w:pPr>
    <w:rPr>
      <w:rFonts w:cs="Mangal"/>
      <w:i/>
      <w:iCs/>
      <w:sz w:val="24"/>
      <w:szCs w:val="24"/>
    </w:rPr>
  </w:style>
  <w:style w:type="paragraph" w:styleId="863">
    <w:name w:val="Указатель2"/>
    <w:basedOn w:val="818"/>
    <w:next w:val="863"/>
    <w:link w:val="818"/>
    <w:pPr>
      <w:suppressLineNumbers/>
    </w:pPr>
    <w:rPr>
      <w:rFonts w:cs="Mangal"/>
    </w:rPr>
  </w:style>
  <w:style w:type="paragraph" w:styleId="864">
    <w:name w:val="Обычный1"/>
    <w:next w:val="864"/>
    <w:link w:val="818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</w:pPr>
    <w:rPr>
      <w:rFonts w:ascii="Arial" w:hAnsi="Arial" w:eastAsia="Lucida Sans Unicode" w:cs="Mangal"/>
      <w:sz w:val="21"/>
      <w:szCs w:val="24"/>
      <w:lang w:val="ru-RU" w:eastAsia="zh-CN" w:bidi="hi-IN"/>
    </w:rPr>
  </w:style>
  <w:style w:type="paragraph" w:styleId="865">
    <w:name w:val="Название объекта2"/>
    <w:basedOn w:val="818"/>
    <w:next w:val="860"/>
    <w:link w:val="818"/>
    <w:pPr>
      <w:keepNext/>
      <w:spacing w:before="240" w:after="120"/>
    </w:pPr>
    <w:rPr>
      <w:sz w:val="28"/>
      <w:szCs w:val="28"/>
    </w:rPr>
  </w:style>
  <w:style w:type="paragraph" w:styleId="866">
    <w:name w:val="Название"/>
    <w:basedOn w:val="818"/>
    <w:next w:val="860"/>
    <w:link w:val="818"/>
    <w:qFormat/>
    <w:pPr>
      <w:keepNext/>
      <w:spacing w:before="240" w:after="120"/>
    </w:pPr>
    <w:rPr>
      <w:rFonts w:ascii="Arial" w:hAnsi="Arial" w:eastAsia="Lucida Sans Unicode" w:cs="Mangal"/>
      <w:sz w:val="28"/>
      <w:szCs w:val="28"/>
    </w:rPr>
  </w:style>
  <w:style w:type="paragraph" w:styleId="867">
    <w:name w:val="Подзаголовок"/>
    <w:basedOn w:val="865"/>
    <w:next w:val="860"/>
    <w:link w:val="818"/>
    <w:qFormat/>
    <w:pPr>
      <w:jc w:val="center"/>
    </w:pPr>
    <w:rPr>
      <w:i/>
      <w:iCs/>
    </w:rPr>
  </w:style>
  <w:style w:type="paragraph" w:styleId="868">
    <w:name w:val="Название объекта1"/>
    <w:basedOn w:val="818"/>
    <w:next w:val="868"/>
    <w:link w:val="818"/>
    <w:pPr>
      <w:spacing w:before="120" w:after="120"/>
      <w:suppressLineNumbers/>
    </w:pPr>
    <w:rPr>
      <w:i/>
      <w:iCs/>
      <w:sz w:val="24"/>
    </w:rPr>
  </w:style>
  <w:style w:type="paragraph" w:styleId="869">
    <w:name w:val="Указатель1"/>
    <w:basedOn w:val="818"/>
    <w:next w:val="869"/>
    <w:link w:val="818"/>
    <w:pPr>
      <w:suppressLineNumbers/>
    </w:pPr>
    <w:rPr>
      <w:sz w:val="24"/>
    </w:rPr>
  </w:style>
  <w:style w:type="paragraph" w:styleId="870">
    <w:name w:val="Красная строка1"/>
    <w:basedOn w:val="860"/>
    <w:next w:val="870"/>
    <w:link w:val="818"/>
    <w:pPr>
      <w:ind w:left="0" w:right="0" w:firstLine="709"/>
      <w:spacing w:before="0" w:after="0"/>
    </w:pPr>
  </w:style>
  <w:style w:type="paragraph" w:styleId="871">
    <w:name w:val="Содержимое врезки"/>
    <w:basedOn w:val="860"/>
    <w:next w:val="871"/>
    <w:link w:val="818"/>
  </w:style>
  <w:style w:type="paragraph" w:styleId="872">
    <w:name w:val="Содержимое таблицы"/>
    <w:basedOn w:val="818"/>
    <w:next w:val="872"/>
    <w:link w:val="818"/>
    <w:pPr>
      <w:suppressLineNumbers/>
    </w:pPr>
  </w:style>
  <w:style w:type="paragraph" w:styleId="873">
    <w:name w:val="western"/>
    <w:basedOn w:val="818"/>
    <w:next w:val="873"/>
    <w:link w:val="818"/>
    <w:pPr>
      <w:jc w:val="both"/>
      <w:spacing w:before="100" w:beforeAutospacing="1"/>
      <w:widowControl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</w:pPr>
    <w:rPr>
      <w:rFonts w:ascii="Times New Roman" w:hAnsi="Times New Roman" w:eastAsia="Times New Roman" w:cs="Times New Roman"/>
      <w:color w:val="00000a"/>
      <w:sz w:val="22"/>
      <w:szCs w:val="22"/>
      <w:lang w:eastAsia="ru-RU" w:bidi="ar-SA"/>
    </w:rPr>
  </w:style>
  <w:style w:type="paragraph" w:styleId="874">
    <w:name w:val="Название1"/>
    <w:basedOn w:val="818"/>
    <w:next w:val="874"/>
    <w:link w:val="818"/>
    <w:pPr>
      <w:spacing w:before="120" w:after="120"/>
      <w:widowControl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  <w:suppressLineNumbers/>
    </w:pPr>
    <w:rPr>
      <w:rFonts w:ascii="Times New Roman" w:hAnsi="Times New Roman" w:eastAsia="Times New Roman"/>
      <w:i/>
      <w:iCs/>
      <w:sz w:val="24"/>
      <w:lang w:bidi="ar-SA"/>
    </w:rPr>
  </w:style>
  <w:style w:type="paragraph" w:styleId="875">
    <w:name w:val="первая-строка-с-отступом-western"/>
    <w:basedOn w:val="818"/>
    <w:next w:val="875"/>
    <w:link w:val="818"/>
    <w:pPr>
      <w:ind w:firstLine="709"/>
      <w:jc w:val="both"/>
      <w:spacing w:before="100" w:beforeAutospacing="1"/>
      <w:widowControl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</w:pPr>
    <w:rPr>
      <w:rFonts w:ascii="Times New Roman" w:hAnsi="Times New Roman" w:eastAsia="Times New Roman" w:cs="Times New Roman"/>
      <w:sz w:val="28"/>
      <w:szCs w:val="28"/>
      <w:lang w:eastAsia="ru-RU" w:bidi="ar-SA"/>
    </w:rPr>
  </w:style>
  <w:style w:type="paragraph" w:styleId="876">
    <w:name w:val="Основной текст с отступом"/>
    <w:basedOn w:val="818"/>
    <w:next w:val="876"/>
    <w:link w:val="877"/>
    <w:pPr>
      <w:ind w:left="283"/>
      <w:spacing w:after="120"/>
    </w:pPr>
  </w:style>
  <w:style w:type="character" w:styleId="877">
    <w:name w:val="Основной текст с отступом Знак"/>
    <w:next w:val="877"/>
    <w:link w:val="876"/>
    <w:rPr>
      <w:rFonts w:ascii="Arial" w:hAnsi="Arial" w:eastAsia="Lucida Sans Unicode" w:cs="Mangal"/>
      <w:sz w:val="21"/>
      <w:szCs w:val="24"/>
      <w:lang w:eastAsia="zh-CN" w:bidi="hi-IN"/>
    </w:rPr>
  </w:style>
  <w:style w:type="character" w:styleId="878">
    <w:name w:val="Выделение"/>
    <w:next w:val="878"/>
    <w:link w:val="818"/>
    <w:uiPriority w:val="20"/>
    <w:qFormat/>
    <w:rPr>
      <w:i/>
      <w:iCs/>
    </w:rPr>
  </w:style>
  <w:style w:type="paragraph" w:styleId="879">
    <w:name w:val="Обычный (веб)"/>
    <w:basedOn w:val="818"/>
    <w:next w:val="879"/>
    <w:link w:val="818"/>
    <w:uiPriority w:val="99"/>
    <w:unhideWhenUsed/>
    <w:pPr>
      <w:jc w:val="both"/>
      <w:spacing w:before="100" w:beforeAutospacing="1"/>
      <w:widowControl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</w:pPr>
    <w:rPr>
      <w:rFonts w:ascii="Times New Roman" w:hAnsi="Times New Roman" w:eastAsia="Times New Roman" w:cs="Times New Roman"/>
      <w:sz w:val="24"/>
      <w:lang w:eastAsia="ru-RU" w:bidi="ar-SA"/>
    </w:rPr>
  </w:style>
  <w:style w:type="paragraph" w:styleId="880">
    <w:name w:val="Текст выноски"/>
    <w:basedOn w:val="818"/>
    <w:next w:val="880"/>
    <w:link w:val="881"/>
    <w:rPr>
      <w:rFonts w:ascii="Tahoma" w:hAnsi="Tahoma"/>
      <w:sz w:val="16"/>
      <w:szCs w:val="14"/>
    </w:rPr>
  </w:style>
  <w:style w:type="character" w:styleId="881">
    <w:name w:val="Текст выноски Знак"/>
    <w:next w:val="881"/>
    <w:link w:val="880"/>
    <w:rPr>
      <w:rFonts w:ascii="Tahoma" w:hAnsi="Tahoma" w:eastAsia="Lucida Sans Unicode" w:cs="Mangal"/>
      <w:sz w:val="16"/>
      <w:szCs w:val="14"/>
      <w:lang w:eastAsia="zh-CN" w:bidi="hi-IN"/>
    </w:rPr>
  </w:style>
  <w:style w:type="paragraph" w:styleId="882">
    <w:name w:val="Красная строка"/>
    <w:basedOn w:val="860"/>
    <w:next w:val="882"/>
    <w:link w:val="884"/>
    <w:pPr>
      <w:ind w:firstLine="210"/>
    </w:pPr>
  </w:style>
  <w:style w:type="character" w:styleId="883">
    <w:name w:val="Основной текст Знак"/>
    <w:next w:val="883"/>
    <w:link w:val="860"/>
    <w:rPr>
      <w:rFonts w:ascii="Arial" w:hAnsi="Arial" w:eastAsia="Lucida Sans Unicode" w:cs="Mangal"/>
      <w:sz w:val="21"/>
      <w:szCs w:val="24"/>
      <w:lang w:eastAsia="zh-CN" w:bidi="hi-IN"/>
    </w:rPr>
  </w:style>
  <w:style w:type="character" w:styleId="884">
    <w:name w:val="Красная строка Знак"/>
    <w:basedOn w:val="883"/>
    <w:next w:val="884"/>
    <w:link w:val="882"/>
  </w:style>
  <w:style w:type="character" w:styleId="885">
    <w:name w:val="Знак примечания"/>
    <w:next w:val="885"/>
    <w:link w:val="818"/>
    <w:rPr>
      <w:sz w:val="16"/>
      <w:szCs w:val="16"/>
    </w:rPr>
  </w:style>
  <w:style w:type="paragraph" w:styleId="886">
    <w:name w:val="Текст примечания"/>
    <w:basedOn w:val="818"/>
    <w:next w:val="886"/>
    <w:link w:val="887"/>
    <w:rPr>
      <w:sz w:val="20"/>
      <w:szCs w:val="18"/>
    </w:rPr>
  </w:style>
  <w:style w:type="character" w:styleId="887">
    <w:name w:val="Текст примечания Знак"/>
    <w:next w:val="887"/>
    <w:link w:val="886"/>
    <w:rPr>
      <w:rFonts w:ascii="Arial" w:hAnsi="Arial" w:eastAsia="Lucida Sans Unicode" w:cs="Mangal"/>
      <w:szCs w:val="18"/>
      <w:lang w:eastAsia="zh-CN" w:bidi="hi-IN"/>
    </w:rPr>
  </w:style>
  <w:style w:type="paragraph" w:styleId="888">
    <w:name w:val="Тема примечания"/>
    <w:basedOn w:val="886"/>
    <w:next w:val="886"/>
    <w:link w:val="889"/>
    <w:rPr>
      <w:b/>
      <w:bCs/>
    </w:rPr>
  </w:style>
  <w:style w:type="character" w:styleId="889">
    <w:name w:val="Тема примечания Знак"/>
    <w:next w:val="889"/>
    <w:link w:val="888"/>
    <w:rPr>
      <w:rFonts w:ascii="Arial" w:hAnsi="Arial" w:eastAsia="Lucida Sans Unicode" w:cs="Mangal"/>
      <w:b/>
      <w:bCs/>
      <w:szCs w:val="18"/>
      <w:lang w:eastAsia="zh-CN" w:bidi="hi-IN"/>
    </w:rPr>
  </w:style>
  <w:style w:type="character" w:styleId="890" w:default="1">
    <w:name w:val="Default Paragraph Font"/>
    <w:uiPriority w:val="1"/>
    <w:semiHidden/>
    <w:unhideWhenUsed/>
  </w:style>
  <w:style w:type="numbering" w:styleId="891" w:default="1">
    <w:name w:val="No List"/>
    <w:uiPriority w:val="99"/>
    <w:semiHidden/>
    <w:unhideWhenUsed/>
  </w:style>
  <w:style w:type="table" w:styleId="892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>Microsoft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revision>30</cp:revision>
  <dcterms:created xsi:type="dcterms:W3CDTF">2022-12-22T06:58:00Z</dcterms:created>
  <dcterms:modified xsi:type="dcterms:W3CDTF">2025-12-26T03:35:40Z</dcterms:modified>
  <cp:version>983040</cp:version>
</cp:coreProperties>
</file>