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0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24.12.2024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noWrap w:val="0"/>
            <w:tcMar>
              <w:top w:w="0" w:type="dxa"/>
              <w:left w:w="0" w:type="dxa"/>
              <w:bottom w:w="0" w:type="dxa"/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1" w:name="РегНомер"/>
            <w:bookmarkEnd w:id="0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18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Start w:id="2" w:name="_GoBack"/>
            <w:bookmarkEnd w:id="2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изменения в приказ Департамента ветеринарии</w:t>
        <w:br/>
        <w:t xml:space="preserve">Томской области от </w:t>
      </w:r>
      <w:r>
        <w:rPr>
          <w:rFonts w:ascii="PT Astra Serif" w:hAnsi="PT Astra Serif" w:cs="Times New Roman"/>
          <w:sz w:val="28"/>
          <w:szCs w:val="28"/>
        </w:rPr>
        <w:t>22.01.2020 № 1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1. Внести в приказ Департамента ветеринарии Томской области от 22.01.2020 № 1 «Об установлении нормативов, учитываемых при определении объема субвенции, предоставля</w:t>
      </w:r>
      <w:r>
        <w:rPr>
          <w:rFonts w:ascii="PT Astra Serif" w:hAnsi="PT Astra Serif" w:cs="Times New Roman"/>
          <w:sz w:val="28"/>
          <w:szCs w:val="28"/>
        </w:rPr>
        <w:t xml:space="preserve">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владельцев» </w:t>
      </w:r>
      <w:r>
        <w:rPr>
          <w:rFonts w:ascii="PT Astra Serif" w:hAnsi="PT Astra Serif" w:cs="PT Astra Serif"/>
          <w:sz w:val="28"/>
          <w:szCs w:val="28"/>
        </w:rPr>
        <w:t>(</w:t>
      </w:r>
      <w:r>
        <w:rPr>
          <w:rFonts w:ascii="PT Astra Serif" w:hAnsi="PT Astra Serif" w:cs="PT Astra Serif"/>
          <w:sz w:val="28"/>
          <w:szCs w:val="28"/>
        </w:rPr>
        <w:t>Официальный интернет-портал Администрации Томской области (</w:t>
      </w:r>
      <w:r>
        <w:rPr>
          <w:rFonts w:ascii="PT Astra Serif" w:hAnsi="PT Astra Serif" w:cs="PT Astra Serif"/>
          <w:sz w:val="28"/>
          <w:szCs w:val="28"/>
        </w:rPr>
        <w:t xml:space="preserve">www.pravo.gov.ru), </w:t>
      </w:r>
      <w:r>
        <w:rPr>
          <w:rFonts w:ascii="PT Astra Serif" w:hAnsi="PT Astra Serif" w:cs="PT Astra Serif"/>
          <w:sz w:val="28"/>
          <w:szCs w:val="28"/>
          <w:lang w:val="en-US"/>
        </w:rPr>
        <w:t>24</w:t>
      </w:r>
      <w:r>
        <w:rPr>
          <w:rFonts w:ascii="PT Astra Serif" w:hAnsi="PT Astra Serif" w:cs="PT Astra Serif"/>
          <w:sz w:val="28"/>
          <w:szCs w:val="28"/>
        </w:rPr>
        <w:t>.0</w:t>
      </w:r>
      <w:r>
        <w:rPr>
          <w:rFonts w:ascii="PT Astra Serif" w:hAnsi="PT Astra Serif" w:cs="PT Astra Serif"/>
          <w:sz w:val="28"/>
          <w:szCs w:val="28"/>
          <w:lang w:val="en-US"/>
        </w:rPr>
        <w:t>1</w:t>
      </w:r>
      <w:r>
        <w:rPr>
          <w:rFonts w:ascii="PT Astra Serif" w:hAnsi="PT Astra Serif" w:cs="PT Astra Serif"/>
          <w:sz w:val="28"/>
          <w:szCs w:val="28"/>
        </w:rPr>
        <w:t xml:space="preserve">.2020, № </w:t>
      </w:r>
      <w:r>
        <w:rPr>
          <w:rFonts w:ascii="PT Astra Serif" w:hAnsi="PT Astra Serif" w:cs="PT Astra Serif"/>
          <w:sz w:val="28"/>
          <w:szCs w:val="28"/>
          <w:lang w:val="en-US"/>
        </w:rPr>
        <w:t>7001202001240006</w:t>
      </w:r>
      <w:r>
        <w:rPr>
          <w:rFonts w:ascii="PT Astra Serif" w:hAnsi="PT Astra Serif" w:cs="Times New Roman"/>
          <w:sz w:val="28"/>
          <w:szCs w:val="28"/>
        </w:rPr>
        <w:t xml:space="preserve">) изменение, </w:t>
      </w:r>
      <w:r>
        <w:rPr>
          <w:rFonts w:ascii="PT Astra Serif" w:hAnsi="PT Astra Serif" w:cs="Times New Roman"/>
          <w:sz w:val="28"/>
          <w:szCs w:val="28"/>
        </w:rPr>
        <w:t xml:space="preserve">изложив нормативы расходов на осуществление управленческих </w:t>
      </w:r>
      <w:r>
        <w:rPr>
          <w:rFonts w:ascii="PT Astra Serif" w:hAnsi="PT Astra Serif" w:cs="Times New Roman"/>
          <w:sz w:val="28"/>
          <w:szCs w:val="28"/>
        </w:rPr>
        <w:t>функций (годовой фонд оплаты труда с учетом начислений на оплату труда работника, осуществляющего организацию осуществления государственных полномочий), являющиеся приложением к указанному приказу, в новой редакции согласно приложению к 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highlight w:val="yellow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>2. 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Настоящий приказ вступает в силу </w:t>
      </w:r>
      <w:r>
        <w:rPr>
          <w:rFonts w:ascii="PT Astra Serif" w:hAnsi="PT Astra Serif" w:cs="Times New Roman"/>
          <w:sz w:val="28"/>
          <w:szCs w:val="28"/>
          <w:highlight w:val="none"/>
        </w:rPr>
        <w:t>с 1 января 2025 года, но не ранее чем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noWrap w:val="0"/>
            <w:textDirection w:val="lrTb"/>
            <w:vAlign w:val="center"/>
          </w:tcPr>
          <w:p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6"/>
              </w:rPr>
              <w:t>В.В. Табакаев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4"/>
          <w:headerReference w:type="first" r:id="rId5"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Ильева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6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24.12.2024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18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pStyle w:val="ConsPlusNormal"/>
        <w:ind w:left="0" w:right="0" w:firstLine="0"/>
        <w:jc w:val="center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Нормативы расходов на </w:t>
      </w:r>
      <w:r>
        <w:rPr>
          <w:rFonts w:ascii="PT Astra Serif" w:hAnsi="PT Astra Serif" w:cs="PT Astra Serif"/>
          <w:sz w:val="28"/>
          <w:szCs w:val="28"/>
        </w:rPr>
        <w:t xml:space="preserve">осуществление управленческих функций </w:t>
      </w:r>
    </w:p>
    <w:p>
      <w:pPr>
        <w:pStyle w:val="ConsPlusNormal"/>
        <w:ind w:left="0" w:right="0" w:firstLine="0"/>
        <w:jc w:val="center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>(годовой фонд оплаты труда с учетом начислений на оплату труда работника, осуществляющего организацию осуществления государственных полномочий)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581"/>
        <w:gridCol w:w="3118"/>
      </w:tblGrid>
      <w:tr>
        <w:tblPrEx>
          <w:tblW w:w="0" w:type="auto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left="0" w:right="0"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Наименование муниципального образования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Размер, тысяч рублей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Александровский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739,1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Асиновский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492,7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Бакчарский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548,4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Верхнекетский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673,7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Зырянский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445,5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Каргасокский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673,7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Кожевниковский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445,5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Колпашевский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744,7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Кривошеинский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548,4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Молчановский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548,4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Парабельский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673,7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Первомайский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445,5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Тегульдетский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548,4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Томский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414,8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Чаинский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673,7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Шегарский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445,5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Город Томск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414,8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Городской округ Стрежевой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815,7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Город Кедровый</w:t>
            </w:r>
          </w:p>
        </w:tc>
        <w:tc>
          <w:tcPr>
            <w:tcW w:w="3118" w:type="dxa"/>
            <w:noWrap w:val="0"/>
            <w:textDirection w:val="lrTb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673,7</w:t>
            </w:r>
          </w:p>
        </w:tc>
      </w:tr>
      <w:tr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6581" w:type="dxa"/>
            <w:noWrap w:val="0"/>
            <w:textDirection w:val="lrTb"/>
            <w:vAlign w:val="center"/>
          </w:tcPr>
          <w:p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3118" w:type="dxa"/>
            <w:noWrap w:val="0"/>
            <w:textDirection w:val="lrTb"/>
            <w:vAlign w:val="center"/>
          </w:tcPr>
          <w:p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573,5</w:t>
            </w:r>
          </w:p>
        </w:tc>
      </w:tr>
    </w:tbl>
    <w:p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</w:p>
    <w:sectPr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Symbol">
    <w:panose1 w:val="05050102010706020507"/>
    <w:charset w:val="00"/>
    <w:family w:val="auto"/>
    <w:pitch w:val="default"/>
  </w:font>
  <w:font w:name="Cambria">
    <w:panose1 w:val="02040503050406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w:drawing>
        <wp:inline distT="0" distB="0" distL="0" distR="0">
          <wp:extent cx="716280" cy="655320"/>
          <wp:effectExtent l="0" t="0" r="0" b="0"/>
          <wp:docPr id="1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ListParagraph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DD82F2B"/>
    <w:multiLevelType w:val="hybridMultilevel"/>
    <w:tmpl w:val="0000000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link w:val="a3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yperlink" Target="https://phones.tomsk.gov.ru/phonebook/department?id=280&amp;type=2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22</cp:revision>
  <dcterms:created xsi:type="dcterms:W3CDTF">2023-02-28T07:43:00Z</dcterms:created>
  <dcterms:modified xsi:type="dcterms:W3CDTF">2024-12-24T09:18:39Z</dcterms:modified>
</cp:coreProperties>
</file>