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2"/>
        <w:rPr>
          <w:rFonts w:ascii="PT Astra Serif" w:hAnsi="PT Astra Serif"/>
        </w:rPr>
      </w:pPr>
      <w:r>
        <w:rPr>
          <w:rFonts w:ascii="PT Astra Serif" w:hAnsi="PT Astra Serif"/>
        </w:rPr>
        <w:t xml:space="preserve">ДЕПАРТАМЕНТ ВЕТЕРИНАРИИ</w:t>
        <w:br w:type="textWrapping" w:clear="all"/>
        <w:t xml:space="preserve">ТОМСКОЙ ОБЛАСТИ</w:t>
        <w:br w:type="textWrapping" w:clear="all"/>
        <w:br w:type="textWrapping" w:clear="all"/>
        <w:t xml:space="preserve">РАСПОРЯЖЕНИЕ</w:t>
      </w:r>
      <w:r>
        <w:rPr>
          <w:rFonts w:ascii="PT Astra Serif" w:hAnsi="PT Astra Serif"/>
        </w:rPr>
      </w:r>
      <w:r/>
    </w:p>
    <w:p>
      <w:pPr>
        <w:pStyle w:val="618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618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W w:w="9701" w:type="dxa"/>
        <w:tblInd w:w="100" w:type="dxa"/>
        <w:tblBorders>
          <w:top w:val="none" w:color="000000" w:sz="0" w:space="0"/>
          <w:left w:val="none" w:color="000000" w:sz="0" w:space="0"/>
          <w:bottom w:val="single" w:color="000000" w:sz="4" w:space="0"/>
          <w:right w:val="none" w:color="000000" w:sz="0" w:space="0"/>
          <w:insideH w:val="single" w:color="000000" w:sz="4" w:space="0"/>
          <w:insideV w:val="none" w:color="000000" w:sz="0" w:space="0"/>
        </w:tblBorders>
        <w:tblLayout w:type="autofit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669"/>
        <w:gridCol w:w="2317"/>
        <w:gridCol w:w="2729"/>
        <w:gridCol w:w="397"/>
        <w:gridCol w:w="1432"/>
        <w:gridCol w:w="157"/>
      </w:tblGrid>
      <w:tr>
        <w:trPr>
          <w:trHeight w:val="317"/>
        </w:trPr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2669" w:type="dxa"/>
            <w:vAlign w:val="top"/>
            <w:textDirection w:val="lrTb"/>
            <w:noWrap w:val="false"/>
          </w:tcPr>
          <w:p>
            <w:pPr>
              <w:pStyle w:val="62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20.10.2025</w:t>
            </w:r>
            <w:r/>
          </w:p>
        </w:tc>
        <w:tc>
          <w:tcPr>
            <w:gridSpan w:val="2"/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5046" w:type="dxa"/>
            <w:vAlign w:val="top"/>
            <w:textDirection w:val="lrTb"/>
            <w:noWrap w:val="false"/>
          </w:tcPr>
          <w:p>
            <w:pPr>
              <w:pStyle w:val="62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397" w:type="dxa"/>
            <w:vAlign w:val="top"/>
            <w:textDirection w:val="lrTb"/>
            <w:noWrap w:val="false"/>
          </w:tcPr>
          <w:p>
            <w:pPr>
              <w:pStyle w:val="618"/>
              <w:tabs>
                <w:tab w:val="right" w:pos="993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</w:t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1432" w:type="dxa"/>
            <w:vAlign w:val="top"/>
            <w:textDirection w:val="lrTb"/>
            <w:noWrap w:val="false"/>
          </w:tcPr>
          <w:p>
            <w:pPr>
              <w:pStyle w:val="62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16-р</w:t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157" w:type="dxa"/>
            <w:vAlign w:val="top"/>
            <w:textDirection w:val="lrTb"/>
            <w:noWrap w:val="false"/>
          </w:tcPr>
          <w:p>
            <w:pPr>
              <w:pStyle w:val="62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873"/>
        </w:trPr>
        <w:tc>
          <w:tcPr>
            <w:gridSpan w:val="6"/>
            <w:tcBorders>
              <w:top w:val="none" w:color="FFFFFF" w:sz="255" w:space="0"/>
              <w:left w:val="none" w:color="FFFFFF" w:sz="255" w:space="0"/>
              <w:bottom w:val="none" w:color="000000" w:sz="4" w:space="0"/>
              <w:right w:val="none" w:color="FFFFFF" w:sz="255" w:space="0"/>
            </w:tcBorders>
            <w:tcW w:w="9701" w:type="dxa"/>
            <w:vAlign w:val="top"/>
            <w:textDirection w:val="lrTb"/>
            <w:noWrap w:val="false"/>
          </w:tcPr>
          <w:p>
            <w:pPr>
              <w:pStyle w:val="62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634"/>
        </w:trPr>
        <w:tc>
          <w:tcPr>
            <w:gridSpan w:val="6"/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9701" w:type="dxa"/>
            <w:vAlign w:val="top"/>
            <w:textDirection w:val="lrTb"/>
            <w:noWrap w:val="false"/>
          </w:tcPr>
          <w:p>
            <w:pPr>
              <w:pStyle w:val="621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Об </w:t>
            </w:r>
            <w:r>
              <w:rPr>
                <w:rFonts w:ascii="PT Astra Serif" w:hAnsi="PT Astra Serif"/>
                <w:szCs w:val="28"/>
              </w:rPr>
              <w:t xml:space="preserve">отмене</w:t>
            </w:r>
            <w:r>
              <w:rPr>
                <w:rFonts w:ascii="PT Astra Serif" w:hAnsi="PT Astra Serif"/>
                <w:szCs w:val="28"/>
              </w:rPr>
              <w:t xml:space="preserve"> ограничительных мероприятий (карантина) по </w:t>
            </w:r>
            <w:r>
              <w:rPr>
                <w:rFonts w:ascii="PT Astra Serif" w:hAnsi="PT Astra Serif"/>
                <w:szCs w:val="28"/>
              </w:rPr>
              <w:t xml:space="preserve">трихинеллезу</w:t>
            </w:r>
            <w:r>
              <w:rPr>
                <w:rFonts w:ascii="PT Astra Serif" w:hAnsi="PT Astra Serif"/>
                <w:szCs w:val="28"/>
              </w:rPr>
              <w:t xml:space="preserve"> на отдельной территории </w:t>
            </w:r>
            <w:r>
              <w:rPr>
                <w:rFonts w:ascii="PT Astra Serif" w:hAnsi="PT Astra Serif"/>
                <w:szCs w:val="28"/>
              </w:rPr>
              <w:t xml:space="preserve">Колпашев</w:t>
            </w:r>
            <w:r>
              <w:rPr>
                <w:rFonts w:ascii="PT Astra Serif" w:hAnsi="PT Astra Serif"/>
                <w:szCs w:val="28"/>
              </w:rPr>
              <w:t xml:space="preserve">с</w:t>
            </w:r>
            <w:r>
              <w:rPr>
                <w:rFonts w:ascii="PT Astra Serif" w:hAnsi="PT Astra Serif"/>
                <w:szCs w:val="28"/>
              </w:rPr>
              <w:t xml:space="preserve">кого</w:t>
            </w:r>
            <w:r>
              <w:rPr>
                <w:rFonts w:ascii="PT Astra Serif" w:hAnsi="PT Astra Serif"/>
                <w:szCs w:val="28"/>
              </w:rPr>
              <w:t xml:space="preserve"> района</w:t>
            </w:r>
            <w:r>
              <w:rPr>
                <w:rFonts w:ascii="PT Astra Serif" w:hAnsi="PT Astra Serif"/>
                <w:szCs w:val="28"/>
              </w:rPr>
              <w:t xml:space="preserve"> Томской области</w:t>
            </w:r>
            <w:r/>
          </w:p>
        </w:tc>
      </w:tr>
      <w:tr>
        <w:trPr>
          <w:trHeight w:val="317"/>
        </w:trPr>
        <w:tc>
          <w:tcPr>
            <w:gridSpan w:val="2"/>
            <w:tcBorders>
              <w:top w:val="none" w:color="000000" w:sz="4" w:space="0"/>
              <w:bottom w:val="none" w:color="000000" w:sz="4" w:space="0"/>
            </w:tcBorders>
            <w:tcW w:w="4986" w:type="dxa"/>
            <w:vAlign w:val="top"/>
            <w:textDirection w:val="lrTb"/>
            <w:noWrap w:val="false"/>
          </w:tcPr>
          <w:p>
            <w:pPr>
              <w:pStyle w:val="621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gridSpan w:val="4"/>
            <w:tcBorders>
              <w:top w:val="none" w:color="000000" w:sz="4" w:space="0"/>
              <w:bottom w:val="none" w:color="000000" w:sz="4" w:space="0"/>
            </w:tcBorders>
            <w:tcW w:w="4715" w:type="dxa"/>
            <w:vAlign w:val="top"/>
            <w:textDirection w:val="lrTb"/>
            <w:noWrap w:val="false"/>
          </w:tcPr>
          <w:p>
            <w:pPr>
              <w:pStyle w:val="621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</w:tr>
    </w:tbl>
    <w:p>
      <w:pPr>
        <w:pStyle w:val="607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1. </w:t>
      </w:r>
      <w:r>
        <w:rPr>
          <w:rFonts w:ascii="PT Astra Serif" w:hAnsi="PT Astra Serif"/>
          <w:sz w:val="28"/>
          <w:szCs w:val="28"/>
        </w:rPr>
        <w:t xml:space="preserve">В соответствии со статьями 3</w:t>
      </w:r>
      <w:r>
        <w:rPr>
          <w:rFonts w:ascii="PT Astra Serif" w:hAnsi="PT Astra Serif"/>
          <w:sz w:val="28"/>
          <w:szCs w:val="28"/>
          <w:vertAlign w:val="superscript"/>
        </w:rPr>
        <w:t xml:space="preserve">1</w:t>
      </w:r>
      <w:r>
        <w:rPr>
          <w:rFonts w:ascii="PT Astra Serif" w:hAnsi="PT Astra Serif"/>
          <w:sz w:val="28"/>
          <w:szCs w:val="28"/>
        </w:rPr>
        <w:t xml:space="preserve">, 17 Закона Российской Федерации от </w:t>
      </w:r>
      <w:r>
        <w:rPr>
          <w:rFonts w:ascii="PT Astra Serif" w:hAnsi="PT Astra Serif"/>
          <w:sz w:val="28"/>
          <w:szCs w:val="28"/>
        </w:rPr>
        <w:br w:type="textWrapping" w:clear="all"/>
      </w:r>
      <w:r>
        <w:rPr>
          <w:rFonts w:ascii="PT Astra Serif" w:hAnsi="PT Astra Serif"/>
          <w:sz w:val="28"/>
          <w:szCs w:val="28"/>
        </w:rPr>
        <w:t xml:space="preserve">14 мая 1993 года №4979-1 «О ветеринарии», Приказом Минсельхоза России от 19.12.2011 № 476 «Об утверждении перечня заразных, в том числе особо опасных болезней животных, по которым могут устанавливаться ограничительные мероприятия (карантин)», </w:t>
      </w:r>
      <w:r>
        <w:rPr>
          <w:rFonts w:ascii="PT Astra Serif" w:hAnsi="PT Astra Serif"/>
          <w:sz w:val="28"/>
          <w:szCs w:val="28"/>
        </w:rPr>
        <w:t xml:space="preserve">Ветеринарными правилами осуществления проф</w:t>
      </w:r>
      <w:r>
        <w:rPr>
          <w:rFonts w:ascii="PT Astra Serif" w:hAnsi="PT Astra Serif"/>
          <w:sz w:val="28"/>
          <w:szCs w:val="28"/>
        </w:rPr>
        <w:t xml:space="preserve">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трихинеллеза, утвержденными приказом Минсельхоза России от 26.03.2020 </w:t>
      </w:r>
      <w:r>
        <w:rPr>
          <w:rFonts w:ascii="PT Astra Serif" w:hAnsi="PT Astra Serif"/>
          <w:sz w:val="28"/>
          <w:szCs w:val="28"/>
        </w:rPr>
        <w:br w:type="textWrapping" w:clear="all"/>
        <w:t xml:space="preserve">№ </w:t>
      </w:r>
      <w:r>
        <w:rPr>
          <w:rFonts w:ascii="PT Astra Serif" w:hAnsi="PT Astra Serif"/>
          <w:sz w:val="28"/>
          <w:szCs w:val="28"/>
        </w:rPr>
        <w:t xml:space="preserve">154</w:t>
      </w:r>
      <w:r>
        <w:rPr>
          <w:rFonts w:ascii="PT Astra Serif" w:hAnsi="PT Astra Serif"/>
          <w:sz w:val="28"/>
          <w:szCs w:val="28"/>
        </w:rPr>
        <w:t xml:space="preserve">, Законом Томской области от 12 октября 2005</w:t>
      </w:r>
      <w:r>
        <w:rPr>
          <w:rFonts w:ascii="PT Astra Serif" w:hAnsi="PT Astra Serif"/>
          <w:sz w:val="28"/>
          <w:szCs w:val="28"/>
        </w:rPr>
        <w:t xml:space="preserve"> года</w:t>
      </w:r>
      <w:r>
        <w:rPr>
          <w:rFonts w:ascii="PT Astra Serif" w:hAnsi="PT Astra Serif"/>
          <w:sz w:val="28"/>
          <w:szCs w:val="28"/>
        </w:rPr>
        <w:t xml:space="preserve"> №182-ОЗ «Об обеспечении эпизоотического и ветеринарно-санитарного благополучия в Томской области», постановлением Губерн</w:t>
      </w:r>
      <w:r>
        <w:rPr>
          <w:rFonts w:ascii="PT Astra Serif" w:hAnsi="PT Astra Serif"/>
          <w:sz w:val="28"/>
          <w:szCs w:val="28"/>
        </w:rPr>
        <w:t xml:space="preserve">атора Томской области от 11.09.</w:t>
      </w:r>
      <w:r>
        <w:rPr>
          <w:rFonts w:ascii="PT Astra Serif" w:hAnsi="PT Astra Serif"/>
          <w:sz w:val="28"/>
          <w:szCs w:val="28"/>
        </w:rPr>
        <w:t xml:space="preserve">2018 № 83 «Об утверждении положения о Департаменте ветеринарии Томской области»</w:t>
      </w:r>
      <w:r>
        <w:rPr>
          <w:rFonts w:ascii="PT Astra Serif" w:hAnsi="PT Astra Serif"/>
          <w:sz w:val="28"/>
          <w:szCs w:val="28"/>
        </w:rPr>
        <w:t xml:space="preserve">,</w:t>
      </w:r>
      <w:r>
        <w:rPr>
          <w:rFonts w:ascii="PT Astra Serif" w:hAnsi="PT Astra Serif"/>
          <w:sz w:val="28"/>
          <w:szCs w:val="28"/>
        </w:rPr>
        <w:t xml:space="preserve"> на основании </w:t>
      </w:r>
      <w:r>
        <w:rPr>
          <w:rFonts w:ascii="PT Astra Serif" w:hAnsi="PT Astra Serif"/>
          <w:sz w:val="28"/>
          <w:szCs w:val="28"/>
        </w:rPr>
        <w:t xml:space="preserve">письма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начальника ОГ</w:t>
      </w:r>
      <w:r>
        <w:rPr>
          <w:rFonts w:ascii="PT Astra Serif" w:hAnsi="PT Astra Serif"/>
          <w:sz w:val="28"/>
          <w:szCs w:val="28"/>
        </w:rPr>
        <w:t xml:space="preserve">А</w:t>
      </w:r>
      <w:r>
        <w:rPr>
          <w:rFonts w:ascii="PT Astra Serif" w:hAnsi="PT Astra Serif"/>
          <w:sz w:val="28"/>
          <w:szCs w:val="28"/>
        </w:rPr>
        <w:t xml:space="preserve">У «</w:t>
      </w:r>
      <w:r>
        <w:rPr>
          <w:rFonts w:ascii="PT Astra Serif" w:hAnsi="PT Astra Serif"/>
          <w:sz w:val="28"/>
          <w:szCs w:val="28"/>
        </w:rPr>
        <w:t xml:space="preserve">Колпашев</w:t>
      </w:r>
      <w:r>
        <w:rPr>
          <w:rFonts w:ascii="PT Astra Serif" w:hAnsi="PT Astra Serif"/>
          <w:sz w:val="28"/>
          <w:szCs w:val="28"/>
        </w:rPr>
        <w:t xml:space="preserve">ское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меж</w:t>
      </w:r>
      <w:r>
        <w:rPr>
          <w:rFonts w:ascii="PT Astra Serif" w:hAnsi="PT Astra Serif"/>
          <w:sz w:val="28"/>
          <w:szCs w:val="28"/>
        </w:rPr>
        <w:t xml:space="preserve">районное</w:t>
      </w:r>
      <w:r>
        <w:rPr>
          <w:rFonts w:ascii="PT Astra Serif" w:hAnsi="PT Astra Serif"/>
          <w:sz w:val="28"/>
          <w:szCs w:val="28"/>
        </w:rPr>
        <w:t xml:space="preserve"> ветеринарное управление</w:t>
      </w:r>
      <w:r>
        <w:rPr>
          <w:rFonts w:ascii="PT Astra Serif" w:hAnsi="PT Astra Serif"/>
          <w:sz w:val="28"/>
          <w:szCs w:val="28"/>
        </w:rPr>
        <w:t xml:space="preserve">» </w:t>
      </w:r>
      <w:r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 xml:space="preserve">20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rFonts w:ascii="PT Astra Serif" w:hAnsi="PT Astra Serif"/>
          <w:sz w:val="28"/>
          <w:szCs w:val="28"/>
        </w:rPr>
        <w:t xml:space="preserve">10</w:t>
      </w:r>
      <w:r>
        <w:rPr>
          <w:rFonts w:ascii="PT Astra Serif" w:hAnsi="PT Astra Serif"/>
          <w:sz w:val="28"/>
          <w:szCs w:val="28"/>
        </w:rPr>
        <w:t xml:space="preserve">.2025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№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23</w:t>
      </w:r>
      <w:r>
        <w:rPr>
          <w:rFonts w:ascii="PT Astra Serif" w:hAnsi="PT Astra Serif"/>
          <w:sz w:val="28"/>
          <w:szCs w:val="28"/>
        </w:rPr>
        <w:t xml:space="preserve">4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о</w:t>
      </w:r>
      <w:r>
        <w:rPr>
          <w:rFonts w:ascii="PT Astra Serif" w:hAnsi="PT Astra Serif"/>
          <w:sz w:val="28"/>
          <w:szCs w:val="28"/>
        </w:rPr>
        <w:t xml:space="preserve">тменить ограничительные мероприятия (карантин) по </w:t>
      </w:r>
      <w:r>
        <w:rPr>
          <w:rFonts w:ascii="PT Astra Serif" w:hAnsi="PT Astra Serif"/>
          <w:sz w:val="28"/>
          <w:szCs w:val="28"/>
        </w:rPr>
        <w:t xml:space="preserve">трихинеллезу</w:t>
      </w:r>
      <w:r>
        <w:rPr>
          <w:rFonts w:ascii="PT Astra Serif" w:hAnsi="PT Astra Serif"/>
          <w:sz w:val="28"/>
          <w:szCs w:val="28"/>
        </w:rPr>
        <w:t xml:space="preserve">, признав благополучной территорию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полигона твердых бытовых отходов г. Колпашево, расположенного по адресу:</w:t>
      </w:r>
      <w:r>
        <w:rPr>
          <w:rFonts w:ascii="PT Astra Serif" w:hAnsi="PT Astra Serif"/>
          <w:sz w:val="28"/>
          <w:szCs w:val="28"/>
        </w:rPr>
        <w:t xml:space="preserve"> Томск</w:t>
      </w:r>
      <w:r>
        <w:rPr>
          <w:rFonts w:ascii="PT Astra Serif" w:hAnsi="PT Astra Serif"/>
          <w:sz w:val="28"/>
          <w:szCs w:val="28"/>
        </w:rPr>
        <w:t xml:space="preserve">ая</w:t>
      </w:r>
      <w:r>
        <w:rPr>
          <w:rFonts w:ascii="PT Astra Serif" w:hAnsi="PT Astra Serif"/>
          <w:sz w:val="28"/>
          <w:szCs w:val="28"/>
        </w:rPr>
        <w:t xml:space="preserve"> област</w:t>
      </w:r>
      <w:r>
        <w:rPr>
          <w:rFonts w:ascii="PT Astra Serif" w:hAnsi="PT Astra Serif"/>
          <w:sz w:val="28"/>
          <w:szCs w:val="28"/>
        </w:rPr>
        <w:t xml:space="preserve">ь, Колпашевский район, 0,8 км от пересечения автодорог «Колпашево – Белый Яр» и «Колпашево – озеро Светлое»</w:t>
      </w:r>
      <w:r>
        <w:rPr>
          <w:rFonts w:ascii="PT Astra Serif" w:hAnsi="PT Astra Serif"/>
          <w:sz w:val="28"/>
          <w:szCs w:val="28"/>
        </w:rPr>
        <w:t xml:space="preserve">.</w:t>
      </w:r>
      <w:r/>
    </w:p>
    <w:p>
      <w:pPr>
        <w:pStyle w:val="607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2. Признать утратившим силу распоряжение 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Департамента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ветеринарии Томской области от 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1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8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.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10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.202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4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 № 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3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9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3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-р «</w:t>
      </w:r>
      <w:r>
        <w:rPr>
          <w:rFonts w:ascii="PT Astra Serif" w:hAnsi="PT Astra Serif"/>
          <w:sz w:val="28"/>
          <w:szCs w:val="28"/>
        </w:rPr>
        <w:t xml:space="preserve">Об установлении ограничительных </w:t>
      </w:r>
      <w:r>
        <w:rPr>
          <w:rFonts w:ascii="PT Astra Serif" w:hAnsi="PT Astra Serif"/>
          <w:sz w:val="28"/>
          <w:szCs w:val="28"/>
        </w:rPr>
        <w:t xml:space="preserve">м</w:t>
      </w:r>
      <w:r>
        <w:rPr>
          <w:rFonts w:ascii="PT Astra Serif" w:hAnsi="PT Astra Serif"/>
          <w:sz w:val="28"/>
          <w:szCs w:val="28"/>
        </w:rPr>
        <w:t xml:space="preserve">ероприятий (карантина) по трихинеллезу на отдельной территории </w:t>
      </w:r>
      <w:r>
        <w:rPr>
          <w:rFonts w:ascii="PT Astra Serif" w:hAnsi="PT Astra Serif"/>
          <w:sz w:val="28"/>
          <w:szCs w:val="28"/>
        </w:rPr>
        <w:t xml:space="preserve">Колпашев</w:t>
      </w:r>
      <w:r>
        <w:rPr>
          <w:rFonts w:ascii="PT Astra Serif" w:hAnsi="PT Astra Serif"/>
          <w:sz w:val="28"/>
          <w:szCs w:val="28"/>
        </w:rPr>
        <w:t xml:space="preserve">ского</w:t>
      </w:r>
      <w:r>
        <w:rPr>
          <w:rFonts w:ascii="PT Astra Serif" w:hAnsi="PT Astra Serif"/>
          <w:sz w:val="28"/>
          <w:szCs w:val="28"/>
        </w:rPr>
        <w:t xml:space="preserve"> района Томской области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».</w:t>
      </w:r>
      <w:r/>
    </w:p>
    <w:p>
      <w:pPr>
        <w:pStyle w:val="625"/>
        <w:ind w:firstLine="709"/>
        <w:spacing w:before="0" w:beforeAutospacing="0" w:after="0" w:afterAutospac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3. </w:t>
      </w:r>
      <w:r>
        <w:rPr>
          <w:rFonts w:ascii="PT Astra Serif" w:hAnsi="PT Astra Serif"/>
          <w:sz w:val="28"/>
          <w:szCs w:val="28"/>
        </w:rPr>
        <w:t xml:space="preserve">Контроль за исполнением настоящего распоряжения </w:t>
      </w:r>
      <w:r>
        <w:rPr>
          <w:rFonts w:ascii="PT Astra Serif" w:hAnsi="PT Astra Serif"/>
          <w:sz w:val="28"/>
          <w:szCs w:val="28"/>
        </w:rPr>
        <w:t xml:space="preserve">оставляю за собой.</w:t>
      </w:r>
      <w:r>
        <w:rPr>
          <w:rFonts w:ascii="PT Astra Serif" w:hAnsi="PT Astra Serif"/>
          <w:sz w:val="28"/>
          <w:szCs w:val="28"/>
        </w:rPr>
      </w:r>
      <w:r/>
    </w:p>
    <w:p>
      <w:pPr>
        <w:pStyle w:val="620"/>
        <w:ind w:left="-15" w:firstLine="84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23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  <w:r/>
    </w:p>
    <w:p>
      <w:pPr>
        <w:pStyle w:val="62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23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И.о. н</w:t>
      </w:r>
      <w:r>
        <w:rPr>
          <w:rFonts w:ascii="PT Astra Serif" w:hAnsi="PT Astra Serif"/>
          <w:szCs w:val="28"/>
        </w:rPr>
        <w:t xml:space="preserve">ачальник</w:t>
      </w:r>
      <w:r>
        <w:rPr>
          <w:rFonts w:ascii="PT Astra Serif" w:hAnsi="PT Astra Serif"/>
          <w:szCs w:val="28"/>
        </w:rPr>
        <w:t xml:space="preserve">а</w:t>
      </w:r>
      <w:r>
        <w:rPr>
          <w:rFonts w:ascii="PT Astra Serif" w:hAnsi="PT Astra Serif"/>
          <w:szCs w:val="28"/>
        </w:rPr>
        <w:t xml:space="preserve"> департамента                           </w:t>
      </w:r>
      <w:r>
        <w:rPr>
          <w:rFonts w:ascii="PT Astra Serif" w:hAnsi="PT Astra Serif"/>
          <w:szCs w:val="28"/>
        </w:rPr>
        <w:t xml:space="preserve">       </w:t>
      </w:r>
      <w:r>
        <w:rPr>
          <w:rFonts w:ascii="PT Astra Serif" w:hAnsi="PT Astra Serif"/>
          <w:szCs w:val="28"/>
        </w:rPr>
        <w:t xml:space="preserve">    </w:t>
      </w:r>
      <w:r>
        <w:rPr>
          <w:rFonts w:ascii="PT Astra Serif" w:hAnsi="PT Astra Serif"/>
          <w:szCs w:val="28"/>
        </w:rPr>
        <w:t xml:space="preserve">                </w:t>
      </w:r>
      <w:r>
        <w:rPr>
          <w:rFonts w:ascii="PT Astra Serif" w:hAnsi="PT Astra Serif"/>
          <w:szCs w:val="28"/>
        </w:rPr>
        <w:t xml:space="preserve">    </w:t>
      </w:r>
      <w:r>
        <w:rPr>
          <w:rFonts w:ascii="PT Astra Serif" w:hAnsi="PT Astra Serif"/>
          <w:szCs w:val="28"/>
        </w:rPr>
        <w:t xml:space="preserve">   </w:t>
      </w:r>
      <w:r>
        <w:rPr>
          <w:rFonts w:ascii="PT Astra Serif" w:hAnsi="PT Astra Serif"/>
          <w:szCs w:val="28"/>
        </w:rPr>
        <w:t xml:space="preserve">      </w:t>
      </w:r>
      <w:r>
        <w:rPr>
          <w:rFonts w:ascii="PT Astra Serif" w:hAnsi="PT Astra Serif"/>
          <w:szCs w:val="28"/>
        </w:rPr>
        <w:t xml:space="preserve">И</w:t>
      </w:r>
      <w:r>
        <w:rPr>
          <w:rFonts w:ascii="PT Astra Serif" w:hAnsi="PT Astra Serif"/>
          <w:szCs w:val="28"/>
        </w:rPr>
        <w:t xml:space="preserve">.В.</w:t>
      </w:r>
      <w:r>
        <w:rPr>
          <w:rFonts w:ascii="PT Astra Serif" w:hAnsi="PT Astra Serif"/>
          <w:szCs w:val="28"/>
        </w:rPr>
        <w:t xml:space="preserve">Егоров</w:t>
      </w:r>
      <w:r/>
    </w:p>
    <w:sectPr>
      <w:headerReference w:type="default" r:id="rId8"/>
      <w:footnotePr/>
      <w:endnotePr/>
      <w:type w:val="nextPage"/>
      <w:pgSz w:w="11906" w:h="16838" w:orient="portrait"/>
      <w:pgMar w:top="1134" w:right="964" w:bottom="1134" w:left="1134" w:header="720" w:footer="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YaHei">
    <w:panose1 w:val="020B0503020204020204"/>
  </w:font>
  <w:font w:name="Liberation Sans">
    <w:panose1 w:val="020B0604020202020204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19"/>
      <w:jc w:val="center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07"/>
    <w:next w:val="607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07"/>
    <w:next w:val="607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07"/>
    <w:next w:val="607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07"/>
    <w:next w:val="607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07"/>
    <w:next w:val="607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07"/>
    <w:next w:val="607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07"/>
    <w:next w:val="607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07"/>
    <w:next w:val="607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07"/>
    <w:next w:val="607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07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07"/>
    <w:next w:val="607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607"/>
    <w:next w:val="607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607"/>
    <w:next w:val="607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07"/>
    <w:next w:val="607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07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607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607"/>
    <w:next w:val="60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07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607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607"/>
    <w:next w:val="607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07"/>
    <w:next w:val="607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07"/>
    <w:next w:val="607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07"/>
    <w:next w:val="607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07"/>
    <w:next w:val="607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07"/>
    <w:next w:val="607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07"/>
    <w:next w:val="607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07"/>
    <w:next w:val="607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07"/>
    <w:next w:val="607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07"/>
    <w:next w:val="607"/>
    <w:uiPriority w:val="99"/>
    <w:unhideWhenUsed/>
    <w:pPr>
      <w:spacing w:after="0" w:afterAutospacing="0"/>
    </w:pPr>
  </w:style>
  <w:style w:type="paragraph" w:styleId="607" w:default="1">
    <w:name w:val="Normal"/>
    <w:next w:val="607"/>
    <w:link w:val="607"/>
    <w:qFormat/>
    <w:pPr>
      <w:widowControl w:val="off"/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character" w:styleId="608">
    <w:name w:val="Основной шрифт абзаца"/>
    <w:next w:val="608"/>
    <w:link w:val="607"/>
    <w:uiPriority w:val="1"/>
    <w:semiHidden/>
    <w:unhideWhenUsed/>
  </w:style>
  <w:style w:type="table" w:styleId="609">
    <w:name w:val="Обычная таблица"/>
    <w:next w:val="609"/>
    <w:link w:val="607"/>
    <w:uiPriority w:val="99"/>
    <w:semiHidden/>
    <w:unhideWhenUsed/>
    <w:tblPr/>
  </w:style>
  <w:style w:type="numbering" w:styleId="610">
    <w:name w:val="Нет списка"/>
    <w:next w:val="610"/>
    <w:link w:val="607"/>
    <w:uiPriority w:val="99"/>
    <w:semiHidden/>
    <w:unhideWhenUsed/>
  </w:style>
  <w:style w:type="character" w:styleId="611">
    <w:name w:val="Верхний колонтитул Знак"/>
    <w:next w:val="611"/>
    <w:link w:val="607"/>
    <w:qFormat/>
    <w:rPr>
      <w:rFonts w:ascii="Times New Roman" w:hAnsi="Times New Roman" w:eastAsia="Lucida Sans Unicode" w:cs="Mangal"/>
      <w:sz w:val="21"/>
      <w:szCs w:val="24"/>
      <w:lang w:eastAsia="zh-CN" w:bidi="hi-IN"/>
    </w:rPr>
  </w:style>
  <w:style w:type="character" w:styleId="612">
    <w:name w:val="Текст выноски Знак"/>
    <w:next w:val="612"/>
    <w:link w:val="607"/>
    <w:uiPriority w:val="99"/>
    <w:semiHidden/>
    <w:qFormat/>
    <w:rPr>
      <w:rFonts w:ascii="Tahoma" w:hAnsi="Tahoma" w:eastAsia="Lucida Sans Unicode" w:cs="Mangal"/>
      <w:sz w:val="16"/>
      <w:szCs w:val="14"/>
      <w:lang w:eastAsia="zh-CN" w:bidi="hi-IN"/>
    </w:rPr>
  </w:style>
  <w:style w:type="paragraph" w:styleId="613">
    <w:name w:val="Заголовок"/>
    <w:basedOn w:val="607"/>
    <w:next w:val="614"/>
    <w:link w:val="607"/>
    <w:qFormat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614">
    <w:name w:val="Основной текст"/>
    <w:basedOn w:val="607"/>
    <w:next w:val="614"/>
    <w:link w:val="627"/>
    <w:pPr>
      <w:spacing w:after="140" w:line="276" w:lineRule="auto"/>
    </w:pPr>
  </w:style>
  <w:style w:type="paragraph" w:styleId="615">
    <w:name w:val="Список"/>
    <w:basedOn w:val="614"/>
    <w:next w:val="615"/>
    <w:link w:val="607"/>
  </w:style>
  <w:style w:type="paragraph" w:styleId="616">
    <w:name w:val="Название объекта"/>
    <w:basedOn w:val="607"/>
    <w:next w:val="616"/>
    <w:link w:val="607"/>
    <w:qFormat/>
    <w:pPr>
      <w:spacing w:before="120" w:after="120"/>
      <w:suppressLineNumbers/>
    </w:pPr>
    <w:rPr>
      <w:i/>
      <w:iCs/>
      <w:sz w:val="24"/>
    </w:rPr>
  </w:style>
  <w:style w:type="paragraph" w:styleId="617">
    <w:name w:val="Указатель"/>
    <w:basedOn w:val="607"/>
    <w:next w:val="617"/>
    <w:link w:val="607"/>
    <w:qFormat/>
    <w:pPr>
      <w:suppressLineNumbers/>
    </w:pPr>
  </w:style>
  <w:style w:type="paragraph" w:styleId="618">
    <w:name w:val="Standard"/>
    <w:next w:val="618"/>
    <w:link w:val="607"/>
    <w:qFormat/>
    <w:pPr>
      <w:jc w:val="both"/>
      <w:widowControl w:val="off"/>
    </w:pPr>
    <w:rPr>
      <w:rFonts w:ascii="Times New Roman" w:hAnsi="Times New Roman" w:eastAsia="Lucida Sans Unicode" w:cs="Mangal"/>
      <w:sz w:val="28"/>
      <w:szCs w:val="24"/>
      <w:lang w:val="ru-RU" w:eastAsia="zh-CN" w:bidi="hi-IN"/>
    </w:rPr>
  </w:style>
  <w:style w:type="paragraph" w:styleId="619">
    <w:name w:val="Верхний колонтитул"/>
    <w:basedOn w:val="618"/>
    <w:next w:val="619"/>
    <w:link w:val="607"/>
    <w:pPr>
      <w:tabs>
        <w:tab w:val="center" w:pos="5102" w:leader="none"/>
        <w:tab w:val="right" w:pos="10205" w:leader="none"/>
      </w:tabs>
      <w:suppressLineNumbers/>
    </w:pPr>
    <w:rPr>
      <w:sz w:val="21"/>
    </w:rPr>
  </w:style>
  <w:style w:type="paragraph" w:styleId="620">
    <w:name w:val="Основной текст с отступом1"/>
    <w:basedOn w:val="607"/>
    <w:next w:val="620"/>
    <w:link w:val="607"/>
    <w:qFormat/>
    <w:pPr>
      <w:ind w:firstLine="709"/>
      <w:jc w:val="both"/>
    </w:pPr>
    <w:rPr>
      <w:rFonts w:ascii="Times New Roman" w:hAnsi="Times New Roman"/>
    </w:rPr>
  </w:style>
  <w:style w:type="paragraph" w:styleId="621">
    <w:name w:val="Содержимое таблицы"/>
    <w:basedOn w:val="618"/>
    <w:next w:val="621"/>
    <w:link w:val="607"/>
    <w:qFormat/>
    <w:pPr>
      <w:suppressLineNumbers/>
    </w:pPr>
  </w:style>
  <w:style w:type="paragraph" w:styleId="622">
    <w:name w:val="Текст шапки"/>
    <w:basedOn w:val="607"/>
    <w:next w:val="622"/>
    <w:link w:val="607"/>
    <w:qFormat/>
    <w:pPr>
      <w:jc w:val="center"/>
    </w:pPr>
    <w:rPr>
      <w:rFonts w:ascii="Times New Roman" w:hAnsi="Times New Roman"/>
      <w:b/>
      <w:bCs/>
      <w:sz w:val="30"/>
      <w:szCs w:val="30"/>
    </w:rPr>
  </w:style>
  <w:style w:type="paragraph" w:styleId="623">
    <w:name w:val="Подпись_дол+ФИО"/>
    <w:basedOn w:val="607"/>
    <w:next w:val="620"/>
    <w:link w:val="607"/>
    <w:qFormat/>
    <w:pPr>
      <w:tabs>
        <w:tab w:val="right" w:pos="10035" w:leader="none"/>
      </w:tabs>
    </w:pPr>
    <w:rPr>
      <w:rFonts w:ascii="Times New Roman" w:hAnsi="Times New Roman"/>
      <w:sz w:val="28"/>
    </w:rPr>
  </w:style>
  <w:style w:type="paragraph" w:styleId="624">
    <w:name w:val="Текст выноски"/>
    <w:basedOn w:val="607"/>
    <w:next w:val="624"/>
    <w:link w:val="607"/>
    <w:uiPriority w:val="99"/>
    <w:semiHidden/>
    <w:unhideWhenUsed/>
    <w:qFormat/>
    <w:rPr>
      <w:rFonts w:ascii="Tahoma" w:hAnsi="Tahoma"/>
      <w:sz w:val="16"/>
      <w:szCs w:val="14"/>
    </w:rPr>
  </w:style>
  <w:style w:type="paragraph" w:styleId="625">
    <w:name w:val="western"/>
    <w:basedOn w:val="607"/>
    <w:next w:val="625"/>
    <w:link w:val="607"/>
    <w:pPr>
      <w:jc w:val="both"/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0"/>
      <w:szCs w:val="20"/>
      <w:lang w:eastAsia="ru-RU" w:bidi="ar-SA"/>
    </w:rPr>
  </w:style>
  <w:style w:type="paragraph" w:styleId="626">
    <w:name w:val="Красная строка"/>
    <w:basedOn w:val="614"/>
    <w:next w:val="626"/>
    <w:link w:val="628"/>
    <w:uiPriority w:val="99"/>
    <w:semiHidden/>
    <w:unhideWhenUsed/>
    <w:pPr>
      <w:ind w:firstLine="210"/>
      <w:spacing w:after="120" w:line="240" w:lineRule="auto"/>
    </w:pPr>
  </w:style>
  <w:style w:type="character" w:styleId="627">
    <w:name w:val="Основной текст Знак"/>
    <w:next w:val="627"/>
    <w:link w:val="614"/>
    <w:rPr>
      <w:rFonts w:ascii="Arial" w:hAnsi="Arial" w:eastAsia="Lucida Sans Unicode" w:cs="Mangal"/>
      <w:sz w:val="21"/>
      <w:szCs w:val="24"/>
      <w:lang w:eastAsia="zh-CN" w:bidi="hi-IN"/>
    </w:rPr>
  </w:style>
  <w:style w:type="character" w:styleId="628">
    <w:name w:val="Красная строка Знак"/>
    <w:basedOn w:val="627"/>
    <w:next w:val="628"/>
    <w:link w:val="626"/>
    <w:uiPriority w:val="99"/>
    <w:semiHidden/>
  </w:style>
  <w:style w:type="character" w:styleId="1004" w:default="1">
    <w:name w:val="Default Paragraph Font"/>
    <w:uiPriority w:val="1"/>
    <w:semiHidden/>
    <w:unhideWhenUsed/>
  </w:style>
  <w:style w:type="numbering" w:styleId="1005" w:default="1">
    <w:name w:val="No List"/>
    <w:uiPriority w:val="99"/>
    <w:semiHidden/>
    <w:unhideWhenUsed/>
  </w:style>
  <w:style w:type="table" w:styleId="100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language>ru-RU</dc:language>
  <cp:revision>17</cp:revision>
  <dcterms:created xsi:type="dcterms:W3CDTF">2021-09-30T06:12:00Z</dcterms:created>
  <dcterms:modified xsi:type="dcterms:W3CDTF">2025-10-27T04:03:59Z</dcterms:modified>
  <cp:version>917504</cp:version>
</cp:coreProperties>
</file>