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8"/>
        <w:pageBreakBefore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>
          <w:cantSplit w:val="false"/>
        </w:trPr>
        <w:tc>
          <w:tcPr>
            <w:tcBorders>
              <w:bottom w:val="single" w:color="000000" w:sz="2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25.07.2025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gridSpan w:val="2"/>
            <w:tcW w:w="5295" w:type="dxa"/>
            <w:vAlign w:val="top"/>
            <w:textDirection w:val="lrTb"/>
            <w:noWrap w:val="false"/>
          </w:tcPr>
          <w:p>
            <w:pPr>
              <w:pStyle w:val="657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420" w:type="dxa"/>
            <w:vAlign w:val="top"/>
            <w:textDirection w:val="lrTb"/>
            <w:noWrap w:val="false"/>
          </w:tcPr>
          <w:p>
            <w:pPr>
              <w:pStyle w:val="620"/>
              <w:tabs>
                <w:tab w:val="right" w:pos="9930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single" w:color="000000" w:sz="2" w:space="0"/>
            </w:tcBorders>
            <w:tcW w:w="781" w:type="dxa"/>
            <w:vAlign w:val="top"/>
            <w:textDirection w:val="lrTb"/>
            <w:noWrap w:val="false"/>
          </w:tcPr>
          <w:p>
            <w:pPr>
              <w:pStyle w:val="657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11-р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65" w:type="dxa"/>
            <w:vAlign w:val="top"/>
            <w:textDirection w:val="lrTb"/>
            <w:noWrap w:val="false"/>
          </w:tcPr>
          <w:p>
            <w:pPr>
              <w:pStyle w:val="657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>
          <w:cantSplit w:val="false"/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657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 внесении изменений в распоряжение Департамента ветеринарии Томской области от 28.11.2024  №395-р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657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>
          <w:cantSplit w:val="false"/>
        </w:trPr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vAlign w:val="top"/>
            <w:textDirection w:val="lrTb"/>
            <w:noWrap w:val="false"/>
          </w:tcPr>
          <w:p>
            <w:pPr>
              <w:pStyle w:val="657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vAlign w:val="top"/>
            <w:textDirection w:val="lrTb"/>
            <w:noWrap w:val="false"/>
          </w:tcPr>
          <w:p>
            <w:pPr>
              <w:pStyle w:val="657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pStyle w:val="620"/>
        <w:ind w:left="0" w:right="0"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57"/>
        <w:ind w:left="0" w:right="0" w:firstLine="709"/>
        <w:jc w:val="both"/>
        <w:spacing w:line="276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связи со вступле</w:t>
      </w:r>
      <w:r>
        <w:rPr>
          <w:rFonts w:ascii="PT Astra Serif" w:hAnsi="PT Astra Serif" w:cs="PT Astra Serif"/>
          <w:sz w:val="28"/>
          <w:szCs w:val="28"/>
        </w:rPr>
        <w:t xml:space="preserve">нием в силу приказа Министерства сельского хозяйства Российской Федерации от 22.11.2024 №703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</w:t>
      </w:r>
      <w:r>
        <w:rPr>
          <w:rFonts w:ascii="PT Astra Serif" w:hAnsi="PT Astra Serif" w:cs="PT Astra Serif"/>
          <w:sz w:val="28"/>
          <w:szCs w:val="28"/>
        </w:rPr>
        <w:t xml:space="preserve">аничений, направленных на предотвращение распространения и ликвидацию очагов бруцеллёза (включая инфекционный эпидидимит баранов)» внести изменения в распоряжение Департамента ветеринарии Томской области №395-р от 28.11.2024 года в части плана мероприятий </w:t>
      </w:r>
      <w:r>
        <w:rPr>
          <w:rStyle w:val="633"/>
          <w:rFonts w:ascii="PT Astra Serif" w:hAnsi="PT Astra Serif" w:cs="PT Astra Serif"/>
          <w:sz w:val="28"/>
          <w:szCs w:val="28"/>
        </w:rPr>
        <w:t xml:space="preserve">по ликвидации эпизоотического очага бруцеллёза и предотвращению распространения возбудителя в КФХ Муратова Виталия Владимировича.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ind w:left="0" w:right="0" w:firstLine="709"/>
        <w:jc w:val="both"/>
        <w:spacing w:line="276" w:lineRule="auto"/>
        <w:rPr>
          <w:rFonts w:ascii="PT Astra Serif" w:hAnsi="PT Astra Serif" w:cs="PT Astra Serif"/>
          <w:sz w:val="28"/>
          <w:szCs w:val="28"/>
        </w:rPr>
      </w:pPr>
      <w:r>
        <w:rPr>
          <w:rStyle w:val="633"/>
          <w:rFonts w:ascii="PT Astra Serif" w:hAnsi="PT Astra Serif" w:eastAsia="PT Astra Serif" w:cs="PT Astra Serif"/>
          <w:sz w:val="28"/>
          <w:szCs w:val="28"/>
        </w:rPr>
        <w:t xml:space="preserve">1)</w:t>
      </w:r>
      <w:r>
        <w:rPr>
          <w:rStyle w:val="633"/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Style w:val="633"/>
          <w:rFonts w:ascii="PT Astra Serif" w:hAnsi="PT Astra Serif" w:eastAsia="PT Astra Serif" w:cs="PT Astra Serif"/>
          <w:sz w:val="28"/>
          <w:szCs w:val="28"/>
        </w:rPr>
        <w:t xml:space="preserve">У</w:t>
      </w:r>
      <w:r>
        <w:rPr>
          <w:rFonts w:ascii="PT Astra Serif" w:hAnsi="PT Astra Serif" w:cs="PT Astra Serif"/>
          <w:sz w:val="28"/>
          <w:szCs w:val="28"/>
        </w:rPr>
        <w:t xml:space="preserve">твердить план мероприятий </w:t>
      </w:r>
      <w:r>
        <w:rPr>
          <w:rStyle w:val="633"/>
          <w:rFonts w:ascii="PT Astra Serif" w:hAnsi="PT Astra Serif" w:eastAsia="PT Astra Serif" w:cs="PT Astra Serif"/>
          <w:sz w:val="28"/>
          <w:szCs w:val="28"/>
        </w:rPr>
        <w:t xml:space="preserve">по ликвидации эпизоотического очага бруцеллеза и предотвращению распространения возбудителя в КФХ Муратова Виталия Владимировича, </w:t>
      </w:r>
      <w:r>
        <w:rPr>
          <w:rFonts w:ascii="PT Astra Serif" w:hAnsi="PT Astra Serif" w:eastAsia="Times New Roman" w:cs="PT Astra Serif"/>
          <w:sz w:val="28"/>
          <w:szCs w:val="28"/>
        </w:rPr>
        <w:t xml:space="preserve">согласно приложению к настоящему распоряжению. 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57"/>
        <w:ind w:left="0" w:right="0" w:firstLine="709"/>
        <w:jc w:val="both"/>
        <w:spacing w:line="276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57"/>
        <w:ind w:left="0" w:right="0" w:firstLine="709"/>
        <w:jc w:val="both"/>
        <w:spacing w:line="276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57"/>
        <w:ind w:left="0" w:right="0" w:firstLine="0"/>
        <w:jc w:val="both"/>
        <w:spacing w:line="276" w:lineRule="auto"/>
        <w:rPr>
          <w:rFonts w:ascii="PT Astra Serif" w:hAnsi="PT Astra Serif" w:cs="PT Astra Serif"/>
          <w:sz w:val="28"/>
          <w:szCs w:val="28"/>
        </w:rPr>
        <w:sectPr>
          <w:headerReference w:type="default" r:id="rId9"/>
          <w:headerReference w:type="first" r:id="rId10"/>
          <w:footnotePr>
            <w:numRestart w:val="continuous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1701" w:equalWidth="1"/>
          <w:docGrid w:linePitch="360"/>
          <w:titlePg/>
        </w:sect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И.о. начальника департамента                                                              И.В.Егоров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ind w:left="9882" w:right="0" w:firstLine="26"/>
      </w:pPr>
      <w:r>
        <w:rPr>
          <w:rFonts w:ascii="PT Astra Serif" w:hAnsi="PT Astra Serif" w:cs="PT Astra Serif"/>
          <w:sz w:val="24"/>
          <w:szCs w:val="24"/>
        </w:rPr>
        <w:t xml:space="preserve">Приложение </w:t>
      </w:r>
      <w:r/>
      <w:r/>
    </w:p>
    <w:p>
      <w:pPr>
        <w:pStyle w:val="620"/>
        <w:ind w:left="9882" w:right="0" w:firstLine="26"/>
      </w:pPr>
      <w:r>
        <w:rPr>
          <w:rFonts w:ascii="PT Astra Serif" w:hAnsi="PT Astra Serif" w:cs="PT Astra Serif"/>
          <w:sz w:val="24"/>
          <w:szCs w:val="24"/>
        </w:rPr>
        <w:t xml:space="preserve">к распоряжению Департамента ветеринарии Томской области</w:t>
      </w:r>
      <w:r/>
      <w:r/>
    </w:p>
    <w:p>
      <w:pPr>
        <w:pStyle w:val="620"/>
        <w:ind w:left="9882" w:right="0" w:firstLine="26"/>
      </w:pPr>
      <w:r>
        <w:rPr>
          <w:rFonts w:ascii="PT Astra Serif" w:hAnsi="PT Astra Serif" w:cs="PT Astra Serif"/>
          <w:sz w:val="24"/>
          <w:szCs w:val="24"/>
        </w:rPr>
        <w:t xml:space="preserve">от 25.07.202</w:t>
      </w:r>
      <w:r>
        <w:rPr>
          <w:rFonts w:ascii="PT Astra Serif" w:hAnsi="PT Astra Serif" w:cs="PT Astra Serif"/>
          <w:sz w:val="24"/>
          <w:szCs w:val="24"/>
        </w:rPr>
        <w:t xml:space="preserve">5</w:t>
      </w:r>
      <w:r>
        <w:rPr>
          <w:rFonts w:ascii="PT Astra Serif" w:hAnsi="PT Astra Serif" w:cs="PT Astra Serif"/>
          <w:sz w:val="24"/>
          <w:szCs w:val="24"/>
        </w:rPr>
        <w:t xml:space="preserve"> № 11-р</w:t>
      </w:r>
      <w:r/>
    </w:p>
    <w:p>
      <w:pPr>
        <w:pStyle w:val="644"/>
        <w:spacing w:before="0" w:after="0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644"/>
        <w:jc w:val="center"/>
        <w:spacing w:before="0" w:after="0"/>
      </w:pPr>
      <w:r>
        <w:rPr>
          <w:rFonts w:ascii="PT Astra Serif" w:hAnsi="PT Astra Serif" w:cs="PT Astra Serif"/>
          <w:sz w:val="24"/>
          <w:szCs w:val="24"/>
        </w:rPr>
        <w:t xml:space="preserve">План</w:t>
      </w:r>
      <w:r/>
      <w:r/>
    </w:p>
    <w:p>
      <w:pPr>
        <w:pStyle w:val="620"/>
        <w:ind w:left="0" w:right="0" w:firstLine="709"/>
        <w:jc w:val="center"/>
      </w:pPr>
      <w:r>
        <w:rPr>
          <w:rFonts w:ascii="PT Astra Serif" w:hAnsi="PT Astra Serif" w:cs="PT Astra Serif"/>
          <w:sz w:val="24"/>
          <w:szCs w:val="24"/>
        </w:rPr>
        <w:t xml:space="preserve">мероприятий по ликвидации эпизоотического очага </w:t>
      </w:r>
      <w:r>
        <w:rPr>
          <w:rFonts w:ascii="PT Astra Serif" w:hAnsi="PT Astra Serif" w:cs="PT Astra Serif"/>
          <w:sz w:val="24"/>
          <w:szCs w:val="24"/>
        </w:rPr>
        <w:t xml:space="preserve">бруцеллёза</w:t>
      </w:r>
      <w:r>
        <w:rPr>
          <w:rFonts w:ascii="PT Astra Serif" w:hAnsi="PT Astra Serif" w:cs="PT Astra Serif"/>
          <w:sz w:val="24"/>
          <w:szCs w:val="24"/>
        </w:rPr>
        <w:t xml:space="preserve"> и предотвращению распространения возбудителя в</w:t>
      </w:r>
      <w:r/>
      <w:r/>
    </w:p>
    <w:p>
      <w:pPr>
        <w:pStyle w:val="620"/>
        <w:ind w:left="0" w:right="0" w:firstLine="709"/>
        <w:jc w:val="center"/>
      </w:pPr>
      <w:r>
        <w:rPr>
          <w:rFonts w:ascii="PT Astra Serif" w:hAnsi="PT Astra Serif" w:cs="PT Astra Serif"/>
          <w:sz w:val="24"/>
          <w:szCs w:val="24"/>
        </w:rPr>
        <w:t xml:space="preserve">КФХ Муратова Виталия Владимировича</w:t>
      </w:r>
      <w:r/>
      <w:r/>
    </w:p>
    <w:p>
      <w:pPr>
        <w:pStyle w:val="620"/>
        <w:ind w:left="0" w:right="0" w:firstLine="709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W w:w="0" w:type="auto"/>
        <w:tblInd w:w="-13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8304"/>
        <w:gridCol w:w="3544"/>
        <w:gridCol w:w="2392"/>
      </w:tblGrid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п/п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мероприятий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Срок исполнения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Ответственный за исполнение</w:t>
            </w:r>
            <w:r/>
            <w:r/>
          </w:p>
        </w:tc>
      </w:tr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поголовный клинический осмотр животных и изоляцию восприимчивых животных с клиническими признаками бруцеллёза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установлении диагноза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Style w:val="633"/>
                <w:rFonts w:ascii="PT Astra Serif" w:hAnsi="PT Astra Serif" w:cs="PT Astra Serif"/>
                <w:sz w:val="24"/>
                <w:szCs w:val="24"/>
              </w:rPr>
              <w:t xml:space="preserve">Муратов В.В. (далее – Владелец),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районное ветеринарное управление»</w:t>
            </w:r>
            <w:r/>
            <w:r/>
          </w:p>
        </w:tc>
      </w:tr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Проводить дератизацию и дезинсекцию помещений, в которых содержатся животные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  <w:p>
            <w:pPr>
              <w:pStyle w:val="62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эпизоотического очага животных без владельцев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Проводить дезинфекционную обработку одежды и обуви способами, обеспечивающими гибель возбудителя  в соответствии с п. 44 ветеринарных правил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выходе с территории эпизоотического очага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Проводить дезинфекционную обработку транспортных средств 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выезде с территории эпизоотического очага.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отбор проб крови для проведения серологического исследования </w:t>
            </w:r>
            <w:r/>
            <w:r/>
          </w:p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КРС, МРС с интервалом 25-45 дней до получения двух подряд отрицательных результатов;</w:t>
            </w:r>
            <w:r/>
            <w:r/>
          </w:p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Всех восприимчивых животных – во время проведения поголовного клинического осмотра</w:t>
            </w:r>
            <w:r/>
            <w:r/>
          </w:p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Отбор крови у овцематок осуществляется через 30 дней после окота, баранов -  по достижению  12 месяцев, ярок — за 15 дней перед осеменением.</w:t>
            </w:r>
            <w:r/>
            <w:r/>
          </w:p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Подтверждение сомнительных и положительных результатов серологических исследований не проводится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Владелец, ОГАУ «Томское райветуправление»</w:t>
            </w:r>
            <w:r/>
            <w:r/>
          </w:p>
          <w:p>
            <w:pPr>
              <w:pStyle w:val="62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Направлять на убой либо умерщвление больных и восприимчивых животных должно осуществляться в течении 15 календарных дней с даты установления диагноза на бруцеллёз, за исключением супоросных свиноматок, в соответствии п. 39 ветеринарных правил.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Осуществлять обеззараживание продукции и сырья, полученного в эпизоотическом очаге в соответствии с п. 41 ветеринарных правил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  <w:p>
            <w:pPr>
              <w:pStyle w:val="62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Сено, убранное с участков на которых выпасались воспр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иимчивые  животные, больные бруцеллёзом,  уничтожается или может использоваться для кормления  восприимчивых животных, вакцинированных против бруцеллёза, внутри хозяйства после хранения в течении 60 дней со дня сбора, если в очаге осуществляется вакцинация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0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Корма, за исключением сена, подвергать термической обработке при температуре 90°С – в течение 60 минут или при температуре 100°С – в течение 30 минут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Осуществлять утилизацию и уничтожение трупов животных, абортированных плодов в соответствии с ветеринарными правилами перемещения, хранения, переработки и утилизации биологических отходов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появлении биологических отходов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обеззараживание навоза, подстилки и остатков корма в соответствии с п. 40 ветеринарных правил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Провести дезинфекцию территории хозяйства, животноводческих помещений и других объектов, с которыми контактировали больные животные в соответствии с требованиями  п. 44 ветеринарных правил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Проводится в три этапа:</w:t>
            </w:r>
            <w:r/>
            <w:r/>
          </w:p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сразу после изоляции больных животных;</w:t>
            </w:r>
            <w:r/>
            <w:r/>
          </w:p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после проведения механической очистки;</w:t>
            </w:r>
            <w:r/>
            <w:r/>
          </w:p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3) перед отменой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райветуправление»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Осуществить направление на убой всего поголовья КРС, МРС, верблюдов, если не удалось ликвидировать эпизоотический очаг бруцеллёза в течении 3 лет с даты принятия карантина. 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 истечению срока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Владелец, ОГАУ «Томское райветуправление»</w:t>
            </w:r>
            <w:r/>
            <w:r/>
          </w:p>
        </w:tc>
      </w:tr>
      <w:tr>
        <w:trPr>
          <w:cantSplit w:val="false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598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304" w:type="dxa"/>
            <w:vAlign w:val="top"/>
            <w:textDirection w:val="lrTb"/>
            <w:noWrap w:val="false"/>
          </w:tcPr>
          <w:p>
            <w:pPr>
              <w:pStyle w:val="620"/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допускать смешивания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восприимчивых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животных из разных стад, отар, групп при их выпасе и водопое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20"/>
              <w:jc w:val="center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периода карантина</w:t>
            </w: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2" w:type="dxa"/>
            <w:vAlign w:val="top"/>
            <w:textDirection w:val="lrTb"/>
            <w:noWrap w:val="false"/>
          </w:tcPr>
          <w:p>
            <w:pPr>
              <w:pStyle w:val="62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</w:t>
            </w:r>
            <w:r/>
            <w:r/>
          </w:p>
        </w:tc>
      </w:tr>
    </w:tbl>
    <w:p>
      <w:pPr>
        <w:pStyle w:val="657"/>
        <w:ind w:left="0" w:right="0" w:firstLine="0"/>
        <w:jc w:val="both"/>
        <w:spacing w:line="276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sectPr>
      <w:footnotePr>
        <w:numRestart w:val="continuous"/>
      </w:footnotePr>
      <w:endnotePr/>
      <w:type w:val="nextPage"/>
      <w:pgSz w:w="16838" w:h="11906" w:orient="landscape"/>
      <w:pgMar w:top="1701" w:right="1134" w:bottom="850" w:left="1134" w:header="720" w:footer="709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Noto Sans Devanagari">
    <w:panose1 w:val="020B0502040504020204"/>
  </w:font>
  <w:font w:name="PT Sans">
    <w:panose1 w:val="020B0503020203020204"/>
  </w:font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Courier New">
    <w:panose1 w:val="02070309020205020404"/>
  </w:font>
  <w:font w:name="Times New Roman">
    <w:panose1 w:val="020206030504050203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9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2">
      <w:start w:val="1"/>
      <w:numFmt w:val="decimal"/>
      <w:pStyle w:val="621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4">
      <w:start w:val="1"/>
      <w:numFmt w:val="decimal"/>
      <w:pStyle w:val="622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20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20"/>
    <w:next w:val="620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36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20"/>
    <w:next w:val="620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36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20"/>
    <w:next w:val="620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36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20"/>
    <w:next w:val="620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36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20"/>
    <w:next w:val="62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36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20"/>
    <w:next w:val="62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36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20"/>
    <w:next w:val="62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36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20"/>
    <w:next w:val="62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36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20"/>
    <w:next w:val="62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36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20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20"/>
    <w:next w:val="62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36"/>
    <w:link w:val="33"/>
    <w:uiPriority w:val="10"/>
    <w:rPr>
      <w:sz w:val="48"/>
      <w:szCs w:val="48"/>
    </w:rPr>
  </w:style>
  <w:style w:type="paragraph" w:styleId="35">
    <w:name w:val="Subtitle"/>
    <w:basedOn w:val="620"/>
    <w:next w:val="62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36"/>
    <w:link w:val="35"/>
    <w:uiPriority w:val="11"/>
    <w:rPr>
      <w:sz w:val="24"/>
      <w:szCs w:val="24"/>
    </w:rPr>
  </w:style>
  <w:style w:type="paragraph" w:styleId="37">
    <w:name w:val="Quote"/>
    <w:basedOn w:val="620"/>
    <w:next w:val="62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20"/>
    <w:next w:val="62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20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36"/>
    <w:link w:val="41"/>
    <w:uiPriority w:val="99"/>
  </w:style>
  <w:style w:type="paragraph" w:styleId="43">
    <w:name w:val="Footer"/>
    <w:basedOn w:val="62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36"/>
    <w:link w:val="43"/>
    <w:uiPriority w:val="99"/>
  </w:style>
  <w:style w:type="paragraph" w:styleId="45">
    <w:name w:val="Caption"/>
    <w:basedOn w:val="620"/>
    <w:next w:val="6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20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36"/>
    <w:uiPriority w:val="99"/>
    <w:unhideWhenUsed/>
    <w:rPr>
      <w:vertAlign w:val="superscript"/>
    </w:rPr>
  </w:style>
  <w:style w:type="paragraph" w:styleId="177">
    <w:name w:val="endnote text"/>
    <w:basedOn w:val="62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36"/>
    <w:uiPriority w:val="99"/>
    <w:semiHidden/>
    <w:unhideWhenUsed/>
    <w:rPr>
      <w:vertAlign w:val="superscript"/>
    </w:rPr>
  </w:style>
  <w:style w:type="paragraph" w:styleId="180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20"/>
    <w:next w:val="620"/>
    <w:uiPriority w:val="99"/>
    <w:unhideWhenUsed/>
    <w:pPr>
      <w:spacing w:after="0" w:afterAutospacing="0"/>
    </w:pPr>
  </w:style>
  <w:style w:type="table" w:styleId="6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620" w:default="1">
    <w:name w:val="Normal"/>
    <w:next w:val="620"/>
    <w:pPr>
      <w:jc w:val="both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Lucida Sans Unicode" w:cs="Mangal"/>
      <w:color w:val="auto"/>
      <w:sz w:val="28"/>
      <w:szCs w:val="24"/>
      <w:lang w:val="ru-RU" w:eastAsia="zh-CN" w:bidi="hi-IN"/>
    </w:rPr>
  </w:style>
  <w:style w:type="paragraph" w:styleId="621">
    <w:name w:val="Заголовок 3"/>
    <w:basedOn w:val="620"/>
    <w:next w:val="620"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2">
    <w:name w:val="Заголовок 5"/>
    <w:basedOn w:val="620"/>
    <w:next w:val="620"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3">
    <w:name w:val="WW8Num1z0"/>
    <w:next w:val="623"/>
  </w:style>
  <w:style w:type="character" w:styleId="624">
    <w:name w:val="WW8Num1z1"/>
    <w:next w:val="624"/>
    <w:link w:val="620"/>
  </w:style>
  <w:style w:type="character" w:styleId="625">
    <w:name w:val="WW8Num1z2"/>
    <w:next w:val="625"/>
    <w:link w:val="620"/>
  </w:style>
  <w:style w:type="character" w:styleId="626">
    <w:name w:val="WW8Num1z3"/>
    <w:next w:val="626"/>
  </w:style>
  <w:style w:type="character" w:styleId="627">
    <w:name w:val="WW8Num1z4"/>
    <w:next w:val="627"/>
  </w:style>
  <w:style w:type="character" w:styleId="628">
    <w:name w:val="WW8Num1z5"/>
    <w:next w:val="628"/>
    <w:link w:val="620"/>
  </w:style>
  <w:style w:type="character" w:styleId="629">
    <w:name w:val="WW8Num1z6"/>
    <w:next w:val="629"/>
    <w:link w:val="620"/>
  </w:style>
  <w:style w:type="character" w:styleId="630">
    <w:name w:val="WW8Num1z7"/>
    <w:next w:val="630"/>
    <w:link w:val="620"/>
  </w:style>
  <w:style w:type="character" w:styleId="631">
    <w:name w:val="WW8Num1z8"/>
    <w:next w:val="631"/>
    <w:link w:val="620"/>
  </w:style>
  <w:style w:type="character" w:styleId="632">
    <w:name w:val="Основной шрифт абзаца"/>
    <w:next w:val="632"/>
    <w:link w:val="620"/>
  </w:style>
  <w:style w:type="character" w:styleId="633">
    <w:name w:val="Основной шрифт абзаца1"/>
    <w:next w:val="633"/>
    <w:link w:val="620"/>
  </w:style>
  <w:style w:type="character" w:styleId="634">
    <w:name w:val="Маркеры списка"/>
    <w:next w:val="634"/>
    <w:link w:val="620"/>
    <w:rPr>
      <w:rFonts w:ascii="OpenSymbol" w:hAnsi="OpenSymbol" w:eastAsia="OpenSymbol" w:cs="OpenSymbol"/>
    </w:rPr>
  </w:style>
  <w:style w:type="character" w:styleId="635">
    <w:name w:val="Zeichenformat"/>
    <w:next w:val="635"/>
    <w:link w:val="620"/>
  </w:style>
  <w:style w:type="character" w:styleId="636" w:default="1">
    <w:name w:val="Default Paragraph Font"/>
    <w:next w:val="636"/>
    <w:link w:val="620"/>
  </w:style>
  <w:style w:type="character" w:styleId="637">
    <w:name w:val="Текст выноски Знак"/>
    <w:next w:val="637"/>
    <w:link w:val="62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38">
    <w:name w:val="Заголовок"/>
    <w:basedOn w:val="620"/>
    <w:next w:val="639"/>
    <w:link w:val="620"/>
    <w:pPr>
      <w:keepNext/>
      <w:spacing w:before="240" w:after="120"/>
    </w:pPr>
    <w:rPr>
      <w:rFonts w:ascii="Liberation Sans" w:hAnsi="Liberation Sans" w:eastAsia="Microsoft YaHei" w:cs="Liberation Sans"/>
      <w:szCs w:val="28"/>
    </w:rPr>
  </w:style>
  <w:style w:type="paragraph" w:styleId="639">
    <w:name w:val="Основной текст"/>
    <w:basedOn w:val="620"/>
    <w:next w:val="639"/>
    <w:link w:val="620"/>
    <w:rPr>
      <w:sz w:val="21"/>
    </w:rPr>
  </w:style>
  <w:style w:type="paragraph" w:styleId="640">
    <w:name w:val="Список"/>
    <w:basedOn w:val="639"/>
    <w:next w:val="640"/>
    <w:link w:val="620"/>
    <w:rPr>
      <w:rFonts w:ascii="Arial" w:hAnsi="Arial" w:cs="Arial"/>
      <w:sz w:val="24"/>
    </w:rPr>
  </w:style>
  <w:style w:type="paragraph" w:styleId="641">
    <w:name w:val="Название"/>
    <w:basedOn w:val="620"/>
    <w:next w:val="641"/>
    <w:link w:val="620"/>
    <w:pPr>
      <w:spacing w:before="120" w:after="120"/>
      <w:suppressLineNumbers/>
    </w:pPr>
    <w:rPr>
      <w:rFonts w:ascii="PT Sans" w:hAnsi="PT Sans" w:cs="Noto Sans Devanagari"/>
      <w:i/>
      <w:iCs/>
      <w:sz w:val="24"/>
      <w:szCs w:val="24"/>
    </w:rPr>
  </w:style>
  <w:style w:type="paragraph" w:styleId="642">
    <w:name w:val="Указатель"/>
    <w:basedOn w:val="620"/>
    <w:next w:val="642"/>
    <w:link w:val="620"/>
    <w:pPr>
      <w:suppressLineNumbers/>
    </w:pPr>
    <w:rPr>
      <w:rFonts w:ascii="PT Sans" w:hAnsi="PT Sans" w:cs="Noto Sans Devanagari"/>
    </w:rPr>
  </w:style>
  <w:style w:type="paragraph" w:styleId="643">
    <w:name w:val="Обычный1"/>
    <w:next w:val="643"/>
    <w:link w:val="62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color w:val="auto"/>
      <w:sz w:val="21"/>
      <w:szCs w:val="24"/>
      <w:lang w:val="ru-RU" w:eastAsia="zh-CN" w:bidi="hi-IN"/>
    </w:rPr>
  </w:style>
  <w:style w:type="paragraph" w:styleId="644">
    <w:name w:val="Название объекта"/>
    <w:basedOn w:val="620"/>
    <w:next w:val="639"/>
    <w:link w:val="620"/>
    <w:pPr>
      <w:keepNext/>
      <w:spacing w:before="240" w:after="120"/>
    </w:pPr>
    <w:rPr>
      <w:rFonts w:ascii="Arial" w:hAnsi="Arial" w:cs="Arial"/>
      <w:szCs w:val="28"/>
    </w:rPr>
  </w:style>
  <w:style w:type="paragraph" w:styleId="645">
    <w:name w:val="Подзаголовок"/>
    <w:basedOn w:val="644"/>
    <w:next w:val="639"/>
    <w:link w:val="620"/>
    <w:pPr>
      <w:jc w:val="center"/>
    </w:pPr>
    <w:rPr>
      <w:i/>
      <w:iCs/>
    </w:rPr>
  </w:style>
  <w:style w:type="paragraph" w:styleId="646">
    <w:name w:val="Название объекта1"/>
    <w:basedOn w:val="620"/>
    <w:next w:val="646"/>
    <w:link w:val="620"/>
    <w:pPr>
      <w:spacing w:before="0" w:after="119"/>
      <w:suppressLineNumbers/>
    </w:pPr>
    <w:rPr>
      <w:i/>
      <w:iCs/>
    </w:rPr>
  </w:style>
  <w:style w:type="paragraph" w:styleId="647">
    <w:name w:val="Указатель1"/>
    <w:basedOn w:val="620"/>
    <w:next w:val="647"/>
    <w:link w:val="620"/>
    <w:pPr>
      <w:suppressLineNumbers/>
    </w:pPr>
    <w:rPr>
      <w:rFonts w:ascii="Arial" w:hAnsi="Arial" w:cs="Arial"/>
      <w:sz w:val="24"/>
    </w:rPr>
  </w:style>
  <w:style w:type="paragraph" w:styleId="648">
    <w:name w:val="Верхний и нижний колонтитулы"/>
    <w:basedOn w:val="620"/>
    <w:next w:val="648"/>
    <w:link w:val="620"/>
    <w:pPr>
      <w:tabs>
        <w:tab w:val="center" w:pos="4819" w:leader="none"/>
        <w:tab w:val="right" w:pos="9638" w:leader="none"/>
      </w:tabs>
      <w:suppressLineNumbers/>
    </w:pPr>
  </w:style>
  <w:style w:type="paragraph" w:styleId="649">
    <w:name w:val="Верхний колонтитул"/>
    <w:basedOn w:val="620"/>
    <w:next w:val="649"/>
    <w:link w:val="620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50">
    <w:name w:val="Верхний колонтитул справа"/>
    <w:basedOn w:val="620"/>
    <w:next w:val="650"/>
    <w:link w:val="620"/>
    <w:pPr>
      <w:tabs>
        <w:tab w:val="center" w:pos="5102" w:leader="none"/>
        <w:tab w:val="right" w:pos="10205" w:leader="none"/>
      </w:tabs>
      <w:suppressLineNumbers/>
    </w:pPr>
  </w:style>
  <w:style w:type="paragraph" w:styleId="651">
    <w:name w:val="Верхний колонтитул слева"/>
    <w:basedOn w:val="620"/>
    <w:next w:val="651"/>
    <w:link w:val="620"/>
    <w:pPr>
      <w:tabs>
        <w:tab w:val="center" w:pos="5102" w:leader="none"/>
        <w:tab w:val="right" w:pos="10205" w:leader="none"/>
      </w:tabs>
      <w:suppressLineNumbers/>
    </w:pPr>
  </w:style>
  <w:style w:type="paragraph" w:styleId="652">
    <w:name w:val="Горизонтальная линия"/>
    <w:basedOn w:val="620"/>
    <w:next w:val="639"/>
    <w:link w:val="620"/>
    <w:pPr>
      <w:spacing w:before="0" w:after="283"/>
      <w:suppressLineNumbers/>
    </w:pPr>
    <w:rPr>
      <w:sz w:val="12"/>
      <w:szCs w:val="12"/>
    </w:rPr>
  </w:style>
  <w:style w:type="paragraph" w:styleId="653">
    <w:name w:val="Основной текст с отступом"/>
    <w:basedOn w:val="639"/>
    <w:next w:val="653"/>
    <w:link w:val="620"/>
    <w:pPr>
      <w:ind w:left="283" w:right="0" w:firstLine="0"/>
    </w:pPr>
  </w:style>
  <w:style w:type="paragraph" w:styleId="654">
    <w:name w:val="Красная строка"/>
    <w:basedOn w:val="639"/>
    <w:next w:val="654"/>
    <w:link w:val="620"/>
    <w:pPr>
      <w:ind w:left="0" w:right="0" w:firstLine="709"/>
    </w:pPr>
  </w:style>
  <w:style w:type="paragraph" w:styleId="655">
    <w:name w:val="Таблица"/>
    <w:basedOn w:val="646"/>
    <w:next w:val="655"/>
    <w:link w:val="620"/>
  </w:style>
  <w:style w:type="paragraph" w:styleId="656">
    <w:name w:val="Текст1"/>
    <w:basedOn w:val="646"/>
    <w:next w:val="656"/>
    <w:link w:val="620"/>
  </w:style>
  <w:style w:type="paragraph" w:styleId="657">
    <w:name w:val="Содержимое таблицы"/>
    <w:basedOn w:val="620"/>
    <w:next w:val="657"/>
    <w:link w:val="620"/>
    <w:pPr>
      <w:suppressLineNumbers/>
    </w:pPr>
  </w:style>
  <w:style w:type="paragraph" w:styleId="658">
    <w:name w:val="Текст шапки"/>
    <w:basedOn w:val="639"/>
    <w:next w:val="658"/>
    <w:link w:val="620"/>
    <w:pPr>
      <w:jc w:val="center"/>
    </w:pPr>
    <w:rPr>
      <w:b/>
      <w:bCs/>
      <w:sz w:val="30"/>
      <w:szCs w:val="30"/>
    </w:rPr>
  </w:style>
  <w:style w:type="paragraph" w:styleId="659">
    <w:name w:val="Подпись_дол+ФИО"/>
    <w:basedOn w:val="639"/>
    <w:next w:val="654"/>
    <w:link w:val="620"/>
    <w:pPr>
      <w:jc w:val="left"/>
      <w:tabs>
        <w:tab w:val="right" w:pos="10035" w:leader="none"/>
      </w:tabs>
    </w:pPr>
    <w:rPr>
      <w:sz w:val="28"/>
    </w:rPr>
  </w:style>
  <w:style w:type="paragraph" w:styleId="660">
    <w:name w:val="Содержимое врезки"/>
    <w:basedOn w:val="639"/>
    <w:next w:val="660"/>
    <w:link w:val="620"/>
  </w:style>
  <w:style w:type="paragraph" w:styleId="661">
    <w:name w:val="Подпись"/>
    <w:basedOn w:val="639"/>
    <w:next w:val="661"/>
    <w:link w:val="620"/>
    <w:pPr>
      <w:suppressLineNumbers/>
    </w:pPr>
  </w:style>
  <w:style w:type="paragraph" w:styleId="662">
    <w:name w:val="ПодписьСогл_дол+ФИО"/>
    <w:basedOn w:val="659"/>
    <w:next w:val="662"/>
    <w:link w:val="620"/>
    <w:rPr>
      <w:sz w:val="24"/>
    </w:rPr>
  </w:style>
  <w:style w:type="paragraph" w:styleId="663">
    <w:name w:val="Текст в заданном формате"/>
    <w:basedOn w:val="620"/>
    <w:next w:val="663"/>
    <w:link w:val="620"/>
    <w:rPr>
      <w:rFonts w:ascii="Courier New" w:hAnsi="Courier New" w:eastAsia="Courier New" w:cs="Courier New"/>
      <w:sz w:val="20"/>
      <w:szCs w:val="20"/>
    </w:rPr>
  </w:style>
  <w:style w:type="paragraph" w:styleId="664">
    <w:name w:val="DocumentMap"/>
    <w:next w:val="664"/>
    <w:link w:val="620"/>
    <w:pPr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color w:val="auto"/>
      <w:sz w:val="20"/>
      <w:szCs w:val="20"/>
      <w:lang w:val="ru-RU" w:eastAsia="zh-CN" w:bidi="ar-SA"/>
    </w:rPr>
  </w:style>
  <w:style w:type="paragraph" w:styleId="665">
    <w:name w:val="Основной текст с отступом1"/>
    <w:basedOn w:val="620"/>
    <w:next w:val="665"/>
    <w:link w:val="620"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66">
    <w:name w:val="Standard"/>
    <w:next w:val="666"/>
    <w:link w:val="620"/>
    <w:pPr>
      <w:jc w:val="both"/>
      <w:widowControl w:val="off"/>
    </w:pPr>
    <w:rPr>
      <w:rFonts w:ascii="Times New Roman" w:hAnsi="Times New Roman" w:eastAsia="Lucida Sans Unicode" w:cs="Mangal"/>
      <w:color w:val="auto"/>
      <w:sz w:val="28"/>
      <w:szCs w:val="24"/>
      <w:lang w:val="ru-RU" w:eastAsia="zh-CN" w:bidi="hi-IN"/>
    </w:rPr>
  </w:style>
  <w:style w:type="paragraph" w:styleId="667">
    <w:name w:val="Текст выноски"/>
    <w:basedOn w:val="620"/>
    <w:next w:val="667"/>
    <w:link w:val="620"/>
    <w:rPr>
      <w:rFonts w:ascii="Tahoma" w:hAnsi="Tahoma" w:cs="Tahoma"/>
      <w:sz w:val="16"/>
      <w:szCs w:val="14"/>
    </w:rPr>
  </w:style>
  <w:style w:type="paragraph" w:styleId="668">
    <w:name w:val="Заголовок таблицы"/>
    <w:basedOn w:val="657"/>
    <w:next w:val="668"/>
    <w:link w:val="620"/>
    <w:pPr>
      <w:jc w:val="center"/>
      <w:suppressLineNumbers/>
    </w:pPr>
    <w:rPr>
      <w:b/>
      <w:bCs/>
    </w:rPr>
  </w:style>
  <w:style w:type="numbering" w:styleId="1044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Template>Распоряжение Установление карантина Березовка.dot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18</cp:revision>
  <dcterms:created xsi:type="dcterms:W3CDTF">1601-01-01T00:00:00Z</dcterms:created>
  <dcterms:modified xsi:type="dcterms:W3CDTF">2025-09-23T05:19:41Z</dcterms:modified>
</cp:coreProperties>
</file>