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46"/>
        <w:pageBreakBefore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ДЕПАРТАМЕНТ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/>
    </w:p>
    <w:p>
      <w:pPr>
        <w:pStyle w:val="619"/>
        <w:tabs>
          <w:tab w:val="right" w:pos="9930" w:leader="none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p>
      <w:pPr>
        <w:pStyle w:val="619"/>
        <w:tabs>
          <w:tab w:val="right" w:pos="9930" w:leader="none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tbl>
      <w:tblPr>
        <w:tblW w:w="0" w:type="auto"/>
        <w:tblInd w:w="110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771"/>
        <w:gridCol w:w="2624"/>
        <w:gridCol w:w="2608"/>
        <w:gridCol w:w="415"/>
        <w:gridCol w:w="1482"/>
        <w:gridCol w:w="164"/>
      </w:tblGrid>
      <w:tr>
        <w:trPr>
          <w:trHeight w:val="277"/>
        </w:trPr>
        <w:tc>
          <w:tcPr>
            <w:tcBorders>
              <w:bottom w:val="single" w:color="000000" w:sz="2" w:space="0"/>
            </w:tcBorders>
            <w:tcW w:w="2771" w:type="dxa"/>
            <w:vAlign w:val="top"/>
            <w:textDirection w:val="lrTb"/>
            <w:noWrap w:val="false"/>
          </w:tcPr>
          <w:p>
            <w:pPr>
              <w:pStyle w:val="645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16.09.2025</w:t>
            </w:r>
            <w:r/>
          </w:p>
        </w:tc>
        <w:tc>
          <w:tcPr>
            <w:gridSpan w:val="2"/>
            <w:tcW w:w="5232" w:type="dxa"/>
            <w:vAlign w:val="top"/>
            <w:textDirection w:val="lrTb"/>
            <w:noWrap w:val="false"/>
          </w:tcPr>
          <w:p>
            <w:pPr>
              <w:pStyle w:val="645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tcW w:w="415" w:type="dxa"/>
            <w:vAlign w:val="top"/>
            <w:textDirection w:val="lrTb"/>
            <w:noWrap w:val="false"/>
          </w:tcPr>
          <w:p>
            <w:pPr>
              <w:pStyle w:val="619"/>
              <w:tabs>
                <w:tab w:val="right" w:pos="9930" w:leader="none"/>
              </w:tabs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№</w:t>
            </w:r>
            <w:r/>
          </w:p>
        </w:tc>
        <w:tc>
          <w:tcPr>
            <w:tcBorders>
              <w:bottom w:val="single" w:color="000000" w:sz="2" w:space="0"/>
            </w:tcBorders>
            <w:tcW w:w="1482" w:type="dxa"/>
            <w:vAlign w:val="top"/>
            <w:textDirection w:val="lrTb"/>
            <w:noWrap w:val="false"/>
          </w:tcPr>
          <w:p>
            <w:pPr>
              <w:pStyle w:val="645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12-р</w:t>
            </w:r>
            <w:r/>
          </w:p>
        </w:tc>
        <w:tc>
          <w:tcPr>
            <w:tcW w:w="163" w:type="dxa"/>
            <w:vAlign w:val="top"/>
            <w:textDirection w:val="lrTb"/>
            <w:noWrap w:val="false"/>
          </w:tcPr>
          <w:p>
            <w:pPr>
              <w:pStyle w:val="645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  <w:tr>
        <w:trPr>
          <w:trHeight w:val="781"/>
        </w:trPr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064" w:type="dxa"/>
            <w:vAlign w:val="top"/>
            <w:textDirection w:val="lrTb"/>
            <w:noWrap w:val="false"/>
          </w:tcPr>
          <w:p>
            <w:pPr>
              <w:pStyle w:val="645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  <w:p>
            <w:pPr>
              <w:pStyle w:val="645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Об установлении ограничительных мероприятий (карантина) по лептоспирозу на отдельной территории Кожевниковского района Томской области</w:t>
            </w:r>
            <w:r>
              <w:rPr>
                <w:rFonts w:ascii="PT Astra Serif" w:hAnsi="PT Astra Serif"/>
                <w:szCs w:val="28"/>
              </w:rPr>
            </w:r>
            <w:r/>
          </w:p>
        </w:tc>
      </w:tr>
      <w:tr>
        <w:trPr>
          <w:trHeight w:val="277"/>
        </w:trPr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95" w:type="dxa"/>
            <w:vAlign w:val="top"/>
            <w:textDirection w:val="lrTb"/>
            <w:noWrap w:val="false"/>
          </w:tcPr>
          <w:p>
            <w:pPr>
              <w:pStyle w:val="645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669" w:type="dxa"/>
            <w:vAlign w:val="top"/>
            <w:textDirection w:val="lrTb"/>
            <w:noWrap w:val="false"/>
          </w:tcPr>
          <w:p>
            <w:pPr>
              <w:pStyle w:val="645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</w:tbl>
    <w:p>
      <w:pPr>
        <w:pStyle w:val="619"/>
        <w:ind w:firstLine="708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В целях ликвидации очага и недопущения распространения на территории Томской области лептоспироза, в соответствии со статьями 3</w:t>
      </w:r>
      <w:r>
        <w:rPr>
          <w:rFonts w:ascii="PT Astra Serif" w:hAnsi="PT Astra Serif"/>
          <w:szCs w:val="28"/>
          <w:vertAlign w:val="superscript"/>
        </w:rPr>
        <w:t xml:space="preserve">1</w:t>
      </w:r>
      <w:r>
        <w:rPr>
          <w:rFonts w:ascii="PT Astra Serif" w:hAnsi="PT Astra Serif"/>
          <w:szCs w:val="28"/>
        </w:rPr>
        <w:t xml:space="preserve">, 17 Закона Р</w:t>
      </w:r>
      <w:r>
        <w:rPr>
          <w:rFonts w:ascii="PT Astra Serif" w:hAnsi="PT Astra Serif"/>
          <w:szCs w:val="28"/>
        </w:rPr>
        <w:t xml:space="preserve">оссийской Федерации от 14.05.1993 №4979-1 «О ветеринарии», приказом Минсельхоза России 19.12.2011 № 476 «Об утверждении перечня заразных, в том числе особо опасных болезней животных по которым могут устанавливаться ограничительные мероприятия (карантин)», </w:t>
      </w:r>
      <w:r>
        <w:rPr>
          <w:rFonts w:ascii="PT Astra Serif" w:hAnsi="PT Astra Serif"/>
          <w:szCs w:val="28"/>
        </w:rPr>
        <w:t xml:space="preserve">Ветеринарными правилами осуществления профилактических, диагност</w:t>
      </w:r>
      <w:r>
        <w:rPr>
          <w:rFonts w:ascii="PT Astra Serif" w:hAnsi="PT Astra Serif"/>
          <w:szCs w:val="28"/>
        </w:rPr>
        <w:t xml:space="preserve">ических, лечебных,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лептоспироза, утвержденными приказом Минсельхоза России от 10 ноября 2023 г. № 847</w:t>
      </w:r>
      <w:r>
        <w:rPr>
          <w:rFonts w:ascii="PT Astra Serif" w:hAnsi="PT Astra Serif"/>
          <w:szCs w:val="28"/>
        </w:rPr>
        <w:t xml:space="preserve">, п.17 ст. 4 Закона Томской области от 12 октября 2005 года  № 182-ОЗ «Об обеспечении эпизоотического и ветеринарно-санитарного благополучия в Томской области», на основании письма</w:t>
      </w:r>
      <w:r>
        <w:rPr>
          <w:rFonts w:ascii="PT Astra Serif" w:hAnsi="PT Astra Serif"/>
          <w:szCs w:val="28"/>
        </w:rPr>
        <w:t xml:space="preserve"> и.о.</w:t>
      </w:r>
      <w:r>
        <w:rPr>
          <w:rFonts w:ascii="PT Astra Serif" w:hAnsi="PT Astra Serif"/>
          <w:szCs w:val="28"/>
        </w:rPr>
        <w:t xml:space="preserve"> начальника ОГАУ «</w:t>
      </w:r>
      <w:r>
        <w:rPr>
          <w:rFonts w:ascii="PT Astra Serif" w:hAnsi="PT Astra Serif"/>
          <w:szCs w:val="28"/>
        </w:rPr>
        <w:t xml:space="preserve">Кожевниковское</w:t>
      </w:r>
      <w:r>
        <w:rPr>
          <w:rFonts w:ascii="PT Astra Serif" w:hAnsi="PT Astra Serif"/>
          <w:szCs w:val="28"/>
        </w:rPr>
        <w:t xml:space="preserve"> районн</w:t>
      </w:r>
      <w:r>
        <w:rPr>
          <w:rFonts w:ascii="PT Astra Serif" w:hAnsi="PT Astra Serif"/>
          <w:szCs w:val="28"/>
        </w:rPr>
        <w:t xml:space="preserve">ое ветеринарное управление» от 16</w:t>
      </w:r>
      <w:r>
        <w:rPr>
          <w:rFonts w:ascii="PT Astra Serif" w:hAnsi="PT Astra Serif"/>
          <w:szCs w:val="28"/>
        </w:rPr>
        <w:t xml:space="preserve">.</w:t>
      </w:r>
      <w:r>
        <w:rPr>
          <w:rFonts w:ascii="PT Astra Serif" w:hAnsi="PT Astra Serif"/>
          <w:szCs w:val="28"/>
        </w:rPr>
        <w:t xml:space="preserve">0</w:t>
      </w:r>
      <w:r>
        <w:rPr>
          <w:rFonts w:ascii="PT Astra Serif" w:hAnsi="PT Astra Serif"/>
          <w:szCs w:val="28"/>
        </w:rPr>
        <w:t xml:space="preserve">9</w:t>
      </w:r>
      <w:r>
        <w:rPr>
          <w:rFonts w:ascii="PT Astra Serif" w:hAnsi="PT Astra Serif"/>
          <w:szCs w:val="28"/>
        </w:rPr>
        <w:t xml:space="preserve">.202</w:t>
      </w:r>
      <w:r>
        <w:rPr>
          <w:rFonts w:ascii="PT Astra Serif" w:hAnsi="PT Astra Serif"/>
          <w:szCs w:val="28"/>
        </w:rPr>
        <w:t xml:space="preserve">5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№ </w:t>
      </w:r>
      <w:r>
        <w:rPr>
          <w:rFonts w:ascii="PT Astra Serif" w:hAnsi="PT Astra Serif"/>
          <w:szCs w:val="28"/>
        </w:rPr>
        <w:t xml:space="preserve">301</w:t>
      </w:r>
      <w:r>
        <w:rPr>
          <w:rFonts w:ascii="PT Astra Serif" w:hAnsi="PT Astra Serif"/>
          <w:szCs w:val="28"/>
        </w:rPr>
      </w:r>
      <w:r/>
    </w:p>
    <w:p>
      <w:pPr>
        <w:pStyle w:val="619"/>
        <w:ind w:firstLine="708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1. Установить ограничительные мероприятия (карантин) по лептоспироз</w:t>
      </w:r>
      <w:r>
        <w:rPr>
          <w:rStyle w:val="625"/>
          <w:rFonts w:ascii="PT Astra Serif" w:hAnsi="PT Astra Serif"/>
          <w:szCs w:val="28"/>
        </w:rPr>
        <w:t xml:space="preserve">у на отдельной территории Кожевниковского</w:t>
      </w:r>
      <w:r>
        <w:rPr>
          <w:rStyle w:val="625"/>
          <w:rFonts w:ascii="PT Astra Serif" w:hAnsi="PT Astra Serif"/>
          <w:szCs w:val="28"/>
        </w:rPr>
        <w:t xml:space="preserve"> района Томской области по адресу: Томская область, </w:t>
      </w:r>
      <w:r>
        <w:rPr>
          <w:rStyle w:val="625"/>
          <w:rFonts w:ascii="PT Astra Serif" w:hAnsi="PT Astra Serif"/>
          <w:szCs w:val="28"/>
        </w:rPr>
        <w:t xml:space="preserve">Кожевниковский</w:t>
      </w:r>
      <w:r>
        <w:rPr>
          <w:rStyle w:val="625"/>
          <w:rFonts w:ascii="PT Astra Serif" w:hAnsi="PT Astra Serif"/>
          <w:szCs w:val="28"/>
        </w:rPr>
        <w:t xml:space="preserve"> район, с. </w:t>
      </w:r>
      <w:r>
        <w:rPr>
          <w:rStyle w:val="625"/>
          <w:rFonts w:ascii="PT Astra Serif" w:hAnsi="PT Astra Serif"/>
          <w:szCs w:val="28"/>
        </w:rPr>
        <w:t xml:space="preserve">Уртам</w:t>
      </w:r>
      <w:r>
        <w:rPr>
          <w:rStyle w:val="625"/>
          <w:rFonts w:ascii="PT Astra Serif" w:hAnsi="PT Astra Serif"/>
          <w:szCs w:val="28"/>
        </w:rPr>
        <w:t xml:space="preserve">, ул. </w:t>
      </w:r>
      <w:r>
        <w:rPr>
          <w:rStyle w:val="625"/>
          <w:rFonts w:ascii="PT Astra Serif" w:hAnsi="PT Astra Serif"/>
          <w:szCs w:val="28"/>
        </w:rPr>
        <w:t xml:space="preserve">Тельмана</w:t>
      </w:r>
      <w:r>
        <w:rPr>
          <w:rStyle w:val="625"/>
          <w:rFonts w:ascii="PT Astra Serif" w:hAnsi="PT Astra Serif"/>
          <w:szCs w:val="28"/>
        </w:rPr>
        <w:t xml:space="preserve">,</w:t>
      </w:r>
      <w:r>
        <w:rPr>
          <w:rStyle w:val="625"/>
          <w:rFonts w:ascii="PT Astra Serif" w:hAnsi="PT Astra Serif"/>
          <w:szCs w:val="28"/>
        </w:rPr>
        <w:t xml:space="preserve"> д. 3</w:t>
      </w:r>
      <w:r>
        <w:rPr>
          <w:rStyle w:val="625"/>
          <w:rFonts w:ascii="PT Astra Serif" w:hAnsi="PT Astra Serif"/>
          <w:szCs w:val="28"/>
        </w:rPr>
        <w:t xml:space="preserve">6, стр. 9</w:t>
      </w:r>
      <w:r>
        <w:rPr>
          <w:rStyle w:val="625"/>
          <w:rFonts w:ascii="PT Astra Serif" w:hAnsi="PT Astra Serif"/>
          <w:szCs w:val="28"/>
        </w:rPr>
        <w:t xml:space="preserve"> </w:t>
      </w:r>
      <w:r>
        <w:rPr>
          <w:rStyle w:val="625"/>
          <w:rFonts w:ascii="PT Astra Serif" w:hAnsi="PT Astra Serif"/>
          <w:szCs w:val="28"/>
        </w:rPr>
        <w:t xml:space="preserve">(</w:t>
      </w:r>
      <w:r>
        <w:rPr>
          <w:rStyle w:val="625"/>
          <w:rFonts w:ascii="PT Astra Serif" w:hAnsi="PT Astra Serif"/>
          <w:bCs/>
          <w:szCs w:val="28"/>
        </w:rPr>
        <w:t xml:space="preserve">ш</w:t>
      </w:r>
      <w:r>
        <w:rPr>
          <w:rStyle w:val="625"/>
          <w:rFonts w:ascii="PT Astra Serif" w:hAnsi="PT Astra Serif"/>
          <w:bCs/>
          <w:szCs w:val="28"/>
        </w:rPr>
        <w:t xml:space="preserve">ирота</w:t>
      </w:r>
      <w:r>
        <w:rPr>
          <w:rStyle w:val="625"/>
          <w:rFonts w:ascii="PT Astra Serif" w:hAnsi="PT Astra Serif"/>
          <w:b/>
          <w:bCs/>
          <w:szCs w:val="28"/>
        </w:rPr>
        <w:t xml:space="preserve">:</w:t>
      </w:r>
      <w:r>
        <w:rPr>
          <w:rStyle w:val="625"/>
          <w:rFonts w:ascii="PT Astra Serif" w:hAnsi="PT Astra Serif"/>
          <w:szCs w:val="28"/>
        </w:rPr>
        <w:t xml:space="preserve"> 56,134927, </w:t>
      </w:r>
      <w:r>
        <w:rPr>
          <w:rStyle w:val="625"/>
          <w:rFonts w:ascii="PT Astra Serif" w:hAnsi="PT Astra Serif"/>
          <w:szCs w:val="28"/>
        </w:rPr>
        <w:t xml:space="preserve">д</w:t>
      </w:r>
      <w:r>
        <w:rPr>
          <w:rStyle w:val="625"/>
          <w:rFonts w:ascii="PT Astra Serif" w:hAnsi="PT Astra Serif"/>
          <w:bCs/>
          <w:szCs w:val="28"/>
        </w:rPr>
        <w:t xml:space="preserve">олгота</w:t>
      </w:r>
      <w:r>
        <w:rPr>
          <w:rStyle w:val="625"/>
          <w:rFonts w:ascii="PT Astra Serif" w:hAnsi="PT Astra Serif"/>
          <w:b/>
          <w:bCs/>
          <w:szCs w:val="28"/>
        </w:rPr>
        <w:t xml:space="preserve">:</w:t>
      </w:r>
      <w:r>
        <w:rPr>
          <w:rStyle w:val="625"/>
          <w:rFonts w:ascii="PT Astra Serif" w:hAnsi="PT Astra Serif"/>
          <w:szCs w:val="28"/>
        </w:rPr>
        <w:t xml:space="preserve"> 83,929157)</w:t>
      </w:r>
      <w:r>
        <w:rPr>
          <w:rStyle w:val="625"/>
          <w:rFonts w:ascii="PT Astra Serif" w:hAnsi="PT Astra Serif"/>
          <w:szCs w:val="28"/>
        </w:rPr>
        <w:t xml:space="preserve">,</w:t>
      </w:r>
      <w:r>
        <w:rPr>
          <w:rStyle w:val="625"/>
          <w:rFonts w:ascii="PT Astra Serif" w:hAnsi="PT Astra Serif"/>
          <w:szCs w:val="28"/>
        </w:rPr>
        <w:t xml:space="preserve"> признав неблагополучным</w:t>
      </w:r>
      <w:r>
        <w:rPr>
          <w:rStyle w:val="625"/>
          <w:rFonts w:ascii="PT Astra Serif" w:hAnsi="PT Astra Serif"/>
          <w:szCs w:val="28"/>
        </w:rPr>
        <w:t xml:space="preserve"> крестьянско</w:t>
      </w:r>
      <w:r>
        <w:rPr>
          <w:rStyle w:val="625"/>
          <w:rFonts w:ascii="PT Astra Serif" w:hAnsi="PT Astra Serif"/>
          <w:szCs w:val="28"/>
        </w:rPr>
        <w:t xml:space="preserve">е (</w:t>
      </w:r>
      <w:r>
        <w:rPr>
          <w:rStyle w:val="625"/>
          <w:rFonts w:ascii="PT Astra Serif" w:hAnsi="PT Astra Serif"/>
          <w:szCs w:val="28"/>
        </w:rPr>
        <w:t xml:space="preserve">фермерское</w:t>
      </w:r>
      <w:r>
        <w:rPr>
          <w:rStyle w:val="625"/>
          <w:rFonts w:ascii="PT Astra Serif" w:hAnsi="PT Astra Serif"/>
          <w:szCs w:val="28"/>
        </w:rPr>
        <w:t xml:space="preserve">)</w:t>
      </w:r>
      <w:r>
        <w:rPr>
          <w:rStyle w:val="625"/>
          <w:rFonts w:ascii="PT Astra Serif" w:hAnsi="PT Astra Serif"/>
          <w:szCs w:val="28"/>
        </w:rPr>
        <w:t xml:space="preserve"> хозяйство </w:t>
      </w:r>
      <w:r>
        <w:rPr>
          <w:rStyle w:val="625"/>
          <w:rFonts w:ascii="PT Astra Serif" w:hAnsi="PT Astra Serif"/>
          <w:szCs w:val="28"/>
        </w:rPr>
        <w:t xml:space="preserve">Дудкина Данилы Николаевича (далее – неблагополучное КФХ</w:t>
      </w:r>
      <w:r>
        <w:rPr>
          <w:rStyle w:val="625"/>
          <w:rFonts w:ascii="PT Astra Serif" w:hAnsi="PT Astra Serif"/>
          <w:szCs w:val="28"/>
        </w:rPr>
        <w:t xml:space="preserve">)</w:t>
      </w:r>
      <w:r>
        <w:rPr>
          <w:rStyle w:val="625"/>
          <w:rFonts w:ascii="PT Astra Serif" w:hAnsi="PT Astra Serif"/>
          <w:szCs w:val="28"/>
        </w:rPr>
        <w:t xml:space="preserve">.</w:t>
      </w:r>
      <w:r>
        <w:rPr>
          <w:rStyle w:val="625"/>
          <w:rFonts w:ascii="PT Astra Serif" w:hAnsi="PT Astra Serif"/>
          <w:szCs w:val="28"/>
        </w:rPr>
      </w:r>
      <w:r/>
    </w:p>
    <w:p>
      <w:pPr>
        <w:pStyle w:val="619"/>
        <w:ind w:firstLine="708"/>
        <w:rPr>
          <w:rFonts w:ascii="PT Astra Serif" w:hAnsi="PT Astra Serif"/>
        </w:rPr>
        <w:outlineLvl w:val="0"/>
      </w:pPr>
      <w:r>
        <w:rPr>
          <w:rFonts w:ascii="PT Astra Serif" w:hAnsi="PT Astra Serif" w:cs="Times New Roman"/>
          <w:szCs w:val="28"/>
        </w:rPr>
        <w:t xml:space="preserve">2. Установить границы:</w:t>
      </w:r>
      <w:r>
        <w:rPr>
          <w:rFonts w:ascii="PT Astra Serif" w:hAnsi="PT Astra Serif"/>
        </w:rPr>
      </w:r>
      <w:r/>
    </w:p>
    <w:p>
      <w:pPr>
        <w:pStyle w:val="619"/>
        <w:ind w:firstLine="709"/>
        <w:rPr>
          <w:rFonts w:ascii="PT Astra Serif" w:hAnsi="PT Astra Serif"/>
        </w:rPr>
      </w:pPr>
      <w:r>
        <w:rPr>
          <w:rFonts w:ascii="PT Astra Serif" w:hAnsi="PT Astra Serif" w:cs="Times New Roman"/>
          <w:szCs w:val="28"/>
        </w:rPr>
        <w:t xml:space="preserve">1) эпизоотического очага — в пределах территории</w:t>
      </w:r>
      <w:r>
        <w:rPr>
          <w:rFonts w:ascii="PT Astra Serif" w:hAnsi="PT Astra Serif" w:cs="Times New Roman"/>
          <w:szCs w:val="28"/>
        </w:rPr>
        <w:t xml:space="preserve"> неблагополучного КФХ;</w:t>
      </w:r>
      <w:r>
        <w:rPr>
          <w:rFonts w:ascii="PT Astra Serif" w:hAnsi="PT Astra Serif"/>
        </w:rPr>
      </w:r>
      <w:r/>
    </w:p>
    <w:p>
      <w:pPr>
        <w:pStyle w:val="619"/>
        <w:ind w:firstLine="709"/>
        <w:rPr>
          <w:rFonts w:ascii="PT Astra Serif" w:hAnsi="PT Astra Serif"/>
        </w:rPr>
      </w:pPr>
      <w:r>
        <w:rPr>
          <w:rFonts w:ascii="PT Astra Serif" w:hAnsi="PT Astra Serif" w:cs="Times New Roman"/>
          <w:szCs w:val="28"/>
        </w:rPr>
        <w:t xml:space="preserve">2) неблагополучного пункта —</w:t>
      </w:r>
      <w:r>
        <w:rPr>
          <w:rFonts w:ascii="PT Astra Serif" w:hAnsi="PT Astra Serif" w:cs="Times New Roman"/>
          <w:szCs w:val="28"/>
        </w:rPr>
        <w:t xml:space="preserve"> в пределах</w:t>
      </w:r>
      <w:r>
        <w:rPr>
          <w:rFonts w:ascii="PT Astra Serif" w:hAnsi="PT Astra Serif" w:cs="Times New Roman"/>
          <w:szCs w:val="28"/>
        </w:rPr>
        <w:t xml:space="preserve"> </w:t>
      </w:r>
      <w:r>
        <w:rPr>
          <w:rFonts w:ascii="PT Astra Serif" w:hAnsi="PT Astra Serif" w:cs="Times New Roman"/>
          <w:szCs w:val="28"/>
        </w:rPr>
        <w:t xml:space="preserve">территории</w:t>
      </w:r>
      <w:r>
        <w:rPr>
          <w:rFonts w:ascii="PT Astra Serif" w:hAnsi="PT Astra Serif" w:cs="Times New Roman"/>
          <w:szCs w:val="28"/>
        </w:rPr>
        <w:t xml:space="preserve"> радиусом </w:t>
      </w:r>
      <w:r>
        <w:rPr>
          <w:rFonts w:ascii="PT Astra Serif" w:hAnsi="PT Astra Serif" w:cs="Times New Roman"/>
          <w:szCs w:val="28"/>
        </w:rPr>
        <w:t xml:space="preserve">2</w:t>
      </w:r>
      <w:r>
        <w:rPr>
          <w:rFonts w:ascii="PT Astra Serif" w:hAnsi="PT Astra Serif" w:cs="Times New Roman"/>
          <w:szCs w:val="28"/>
        </w:rPr>
        <w:t xml:space="preserve"> км вокруг эпизоотического очага.</w:t>
      </w:r>
      <w:r>
        <w:rPr>
          <w:rFonts w:ascii="PT Astra Serif" w:hAnsi="PT Astra Serif"/>
        </w:rPr>
      </w:r>
      <w:r/>
    </w:p>
    <w:p>
      <w:pPr>
        <w:pStyle w:val="653"/>
        <w:ind w:firstLine="709"/>
        <w:rPr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3</w:t>
      </w:r>
      <w:r>
        <w:rPr>
          <w:rStyle w:val="625"/>
          <w:rFonts w:ascii="PT Astra Serif" w:hAnsi="PT Astra Serif"/>
          <w:szCs w:val="28"/>
        </w:rPr>
        <w:t xml:space="preserve">. </w:t>
      </w:r>
      <w:r>
        <w:rPr>
          <w:rFonts w:ascii="PT Astra Serif" w:hAnsi="PT Astra Serif"/>
          <w:szCs w:val="28"/>
        </w:rPr>
        <w:t xml:space="preserve">Н</w:t>
      </w:r>
      <w:r>
        <w:rPr>
          <w:rFonts w:ascii="PT Astra Serif" w:hAnsi="PT Astra Serif"/>
          <w:szCs w:val="28"/>
        </w:rPr>
        <w:t xml:space="preserve">а период действия ограничительных мероприятий (карантина</w:t>
      </w:r>
      <w:r>
        <w:rPr>
          <w:rFonts w:ascii="PT Astra Serif" w:hAnsi="PT Astra Serif"/>
          <w:szCs w:val="28"/>
        </w:rPr>
        <w:t xml:space="preserve">)</w:t>
      </w:r>
      <w:r>
        <w:rPr>
          <w:rFonts w:ascii="PT Astra Serif" w:hAnsi="PT Astra Serif"/>
          <w:szCs w:val="28"/>
        </w:rPr>
        <w:t xml:space="preserve"> в эпизоотическом очаге</w:t>
      </w:r>
      <w:r>
        <w:rPr>
          <w:rFonts w:ascii="PT Astra Serif" w:hAnsi="PT Astra Serif"/>
          <w:szCs w:val="28"/>
        </w:rPr>
        <w:t xml:space="preserve"> запрещается</w:t>
      </w:r>
      <w:r>
        <w:rPr>
          <w:rFonts w:ascii="PT Astra Serif" w:hAnsi="PT Astra Serif"/>
          <w:szCs w:val="28"/>
        </w:rPr>
        <w:t xml:space="preserve">:</w:t>
      </w:r>
      <w:r>
        <w:rPr>
          <w:rFonts w:ascii="PT Astra Serif" w:hAnsi="PT Astra Serif"/>
          <w:szCs w:val="28"/>
        </w:rPr>
      </w:r>
      <w:r/>
    </w:p>
    <w:p>
      <w:pPr>
        <w:pStyle w:val="653"/>
        <w:ind w:firstLine="709"/>
      </w:pPr>
      <w:r>
        <w:t xml:space="preserve">- посещение посторонними лицами, не являющимися работниками хозяйства, специалистами госветслужбы и привлеченным персоналом для ликвидации очага, лицами, проживающими и (или) временно пребывающими на территории, признанной эпизоотическим очагом; </w:t>
      </w:r>
      <w:r/>
    </w:p>
    <w:p>
      <w:pPr>
        <w:pStyle w:val="653"/>
        <w:ind w:firstLine="709"/>
      </w:pPr>
      <w:r>
        <w:t xml:space="preserve">- ввоз (ввод) и вывоз (вывод) восприимчивых животных, за исключением вывоза крупного рогатого скота, на убой на предприятия по убою восприимчивых животных или в оборудованные для этих целей убойные пункты; </w:t>
      </w:r>
      <w:r/>
    </w:p>
    <w:p>
      <w:pPr>
        <w:pStyle w:val="653"/>
        <w:ind w:firstLine="709"/>
      </w:pPr>
      <w:r>
        <w:t xml:space="preserve">- заготовка и вывоз кормов, а также вывоз инвентаря и иных материально-технических средств, с которыми имели контакт больные восприимчивые животные, за исключением кормов, обработанных в соответствии с пунктом 36 Правил; </w:t>
      </w:r>
      <w:r/>
    </w:p>
    <w:p>
      <w:pPr>
        <w:pStyle w:val="653"/>
        <w:ind w:firstLine="709"/>
      </w:pPr>
      <w:r>
        <w:t xml:space="preserve">- вывоз продукт</w:t>
      </w:r>
      <w:r>
        <w:t xml:space="preserve">ов убоя, молока и молочных продуктов, полученных от больных восприимчивых животных; </w:t>
      </w:r>
      <w:r/>
    </w:p>
    <w:p>
      <w:pPr>
        <w:pStyle w:val="653"/>
        <w:ind w:firstLine="709"/>
      </w:pPr>
      <w:r>
        <w:t xml:space="preserve"> совместное доение больных и клинически здоровых восприимчивых животных; </w:t>
      </w:r>
      <w:r/>
    </w:p>
    <w:p>
      <w:pPr>
        <w:pStyle w:val="653"/>
        <w:ind w:firstLine="709"/>
      </w:pPr>
      <w:r>
        <w:t xml:space="preserve">- использование для доения больных и клинически здоровых восприимчивых животных одних и тех же доильных аппаратов; </w:t>
      </w:r>
      <w:r/>
    </w:p>
    <w:p>
      <w:pPr>
        <w:pStyle w:val="653"/>
        <w:ind w:firstLine="709"/>
      </w:pPr>
      <w:r>
        <w:t xml:space="preserve">- сбор в общую емкость молока при доении больных и клинически здоровых восприимчивых животных; </w:t>
      </w:r>
      <w:r/>
    </w:p>
    <w:p>
      <w:pPr>
        <w:pStyle w:val="653"/>
        <w:ind w:firstLine="709"/>
      </w:pPr>
      <w:r>
        <w:t xml:space="preserve">- сбор, обработка, хранение, вывоз и использование спермы, яйцеклеток и эмбрионов для искусственного осеменения восприимчивых животных; </w:t>
      </w:r>
      <w:r/>
    </w:p>
    <w:p>
      <w:pPr>
        <w:pStyle w:val="653"/>
        <w:ind w:firstLine="709"/>
      </w:pPr>
      <w:r>
        <w:t xml:space="preserve">- перемещение и перегруппировка восприимчивых животных внутри хозяйства; </w:t>
      </w:r>
      <w:r/>
    </w:p>
    <w:p>
      <w:pPr>
        <w:pStyle w:val="653"/>
        <w:ind w:firstLine="709"/>
      </w:pPr>
      <w:r>
        <w:t xml:space="preserve">- выпас невакцинированных восприимчивых животных на пастбищах, где выпасались больные лептоспирозом животные; </w:t>
      </w:r>
      <w:r/>
    </w:p>
    <w:p>
      <w:pPr>
        <w:pStyle w:val="653"/>
        <w:ind w:firstLine="709"/>
      </w:pPr>
      <w:r>
        <w:t xml:space="preserve">- использование водоемов для поения и купания восприимчивых животных;</w:t>
      </w:r>
      <w:r/>
    </w:p>
    <w:p>
      <w:pPr>
        <w:pStyle w:val="653"/>
        <w:ind w:firstLine="709"/>
        <w:rPr>
          <w:rFonts w:ascii="PT Astra Serif" w:hAnsi="PT Astra Serif"/>
          <w:szCs w:val="28"/>
        </w:rPr>
      </w:pPr>
      <w:r>
        <w:t xml:space="preserve"> скармливание собакам и пушным зверям не обеззараженных продуктов убоя, полученных от больных восприимчивых животных;</w:t>
      </w:r>
      <w:r>
        <w:rPr>
          <w:rFonts w:ascii="PT Astra Serif" w:hAnsi="PT Astra Serif"/>
          <w:szCs w:val="28"/>
        </w:rPr>
      </w:r>
      <w:r/>
    </w:p>
    <w:p>
      <w:pPr>
        <w:pStyle w:val="653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4. Н</w:t>
      </w:r>
      <w:r>
        <w:rPr>
          <w:rFonts w:ascii="PT Astra Serif" w:hAnsi="PT Astra Serif"/>
          <w:szCs w:val="28"/>
        </w:rPr>
        <w:t xml:space="preserve">а период действия ограничительных мероприятий (карантина</w:t>
      </w:r>
      <w:r>
        <w:rPr>
          <w:rFonts w:ascii="PT Astra Serif" w:hAnsi="PT Astra Serif"/>
          <w:szCs w:val="28"/>
        </w:rPr>
        <w:t xml:space="preserve">)</w:t>
      </w:r>
      <w:r>
        <w:rPr>
          <w:rFonts w:ascii="PT Astra Serif" w:hAnsi="PT Astra Serif"/>
          <w:szCs w:val="28"/>
        </w:rPr>
        <w:t xml:space="preserve"> в </w:t>
      </w:r>
      <w:r>
        <w:t xml:space="preserve">неблагополучном пункте запрещается проведение сельскохозяйственных ярмарок, выставок, торгов и других мероприятий, связанных со скоплением восприимчивых животных;</w:t>
      </w:r>
      <w:r>
        <w:rPr>
          <w:rFonts w:ascii="PT Astra Serif" w:hAnsi="PT Astra Serif"/>
        </w:rPr>
      </w:r>
      <w:r/>
    </w:p>
    <w:p>
      <w:pPr>
        <w:pStyle w:val="619"/>
        <w:rPr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ab/>
      </w:r>
      <w:r>
        <w:rPr>
          <w:rFonts w:cs="Times New Roman"/>
        </w:rPr>
        <w:t xml:space="preserve">5</w:t>
      </w:r>
      <w:r>
        <w:rPr>
          <w:rFonts w:cs="Times New Roman"/>
        </w:rPr>
        <w:t xml:space="preserve">.</w:t>
      </w:r>
      <w:r>
        <w:rPr>
          <w:rStyle w:val="625"/>
          <w:rFonts w:ascii="PT Astra Serif" w:hAnsi="PT Astra Serif"/>
          <w:szCs w:val="28"/>
        </w:rPr>
        <w:t xml:space="preserve"> Утвердить план мероприятий по предотвращению распространения и ликвидации лептоспироза в </w:t>
      </w:r>
      <w:r>
        <w:rPr>
          <w:rStyle w:val="625"/>
          <w:rFonts w:ascii="PT Astra Serif" w:hAnsi="PT Astra Serif"/>
          <w:szCs w:val="28"/>
        </w:rPr>
        <w:t xml:space="preserve">крестьянско-фермерском хозяйстве </w:t>
      </w:r>
      <w:r>
        <w:rPr>
          <w:rStyle w:val="625"/>
          <w:rFonts w:ascii="PT Astra Serif" w:hAnsi="PT Astra Serif"/>
          <w:szCs w:val="28"/>
        </w:rPr>
        <w:t xml:space="preserve">Дудкина Данилы Николаевича</w:t>
      </w:r>
      <w:r>
        <w:rPr>
          <w:rStyle w:val="625"/>
          <w:rFonts w:ascii="PT Astra Serif" w:hAnsi="PT Astra Serif"/>
          <w:szCs w:val="28"/>
        </w:rPr>
        <w:t xml:space="preserve">, согласно приложению к настоящему распоряжению</w:t>
      </w:r>
      <w:r>
        <w:rPr>
          <w:rStyle w:val="625"/>
          <w:rFonts w:ascii="PT Astra Serif" w:hAnsi="PT Astra Serif"/>
          <w:szCs w:val="28"/>
        </w:rPr>
        <w:t xml:space="preserve">.</w:t>
      </w:r>
      <w:r>
        <w:rPr>
          <w:rFonts w:ascii="PT Astra Serif" w:hAnsi="PT Astra Serif"/>
          <w:szCs w:val="28"/>
        </w:rPr>
      </w:r>
      <w:r/>
    </w:p>
    <w:p>
      <w:pPr>
        <w:pStyle w:val="619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6</w:t>
      </w:r>
      <w:r>
        <w:rPr>
          <w:rFonts w:ascii="PT Astra Serif" w:hAnsi="PT Astra Serif"/>
          <w:szCs w:val="28"/>
        </w:rPr>
        <w:t xml:space="preserve">. Отменить ограничительные мероприятия </w:t>
      </w:r>
      <w:r>
        <w:rPr>
          <w:rFonts w:ascii="PT Astra Serif" w:hAnsi="PT Astra Serif"/>
          <w:szCs w:val="28"/>
        </w:rPr>
        <w:t xml:space="preserve">после </w:t>
      </w:r>
      <w:r>
        <w:t xml:space="preserve">падежа, и (или) убо</w:t>
      </w:r>
      <w:r>
        <w:t xml:space="preserve">я, и (или) выздоровления последнего больного животного при получении результатов лабораторных исследований восприимчивых животных, не являющихся основанием для установления диагноза на лептоспироз, и проведения других мероприятий, предусмотренных Правилами</w:t>
      </w:r>
      <w:r>
        <w:rPr>
          <w:rFonts w:ascii="PT Astra Serif" w:hAnsi="PT Astra Serif"/>
          <w:szCs w:val="28"/>
        </w:rPr>
        <w:t xml:space="preserve">.</w:t>
      </w:r>
      <w:r/>
    </w:p>
    <w:p>
      <w:pPr>
        <w:pStyle w:val="619"/>
        <w:ind w:firstLine="709"/>
        <w:rPr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7</w:t>
      </w:r>
      <w:r>
        <w:rPr>
          <w:rStyle w:val="625"/>
          <w:rFonts w:ascii="PT Astra Serif" w:hAnsi="PT Astra Serif"/>
          <w:szCs w:val="28"/>
        </w:rPr>
        <w:t xml:space="preserve">. Настоящее распоряжение подлежит размещению на официальном сайте Департамента ветеринарии Томской области в информационно-телекоммуникационной сети Интернет.</w:t>
      </w:r>
      <w:r>
        <w:rPr>
          <w:rFonts w:ascii="PT Astra Serif" w:hAnsi="PT Astra Serif"/>
          <w:szCs w:val="28"/>
        </w:rPr>
      </w:r>
      <w:r/>
    </w:p>
    <w:p>
      <w:pPr>
        <w:pStyle w:val="619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8</w:t>
      </w:r>
      <w:r>
        <w:rPr>
          <w:rFonts w:ascii="PT Astra Serif" w:hAnsi="PT Astra Serif"/>
          <w:szCs w:val="28"/>
        </w:rPr>
        <w:t xml:space="preserve">. </w:t>
      </w:r>
      <w:r>
        <w:rPr>
          <w:rFonts w:ascii="PT Astra Serif" w:hAnsi="PT Astra Serif" w:cs="PT Astra Serif"/>
          <w:szCs w:val="28"/>
        </w:rPr>
        <w:t xml:space="preserve">Контроль за исполнением настоящего распоряжения возл</w:t>
      </w:r>
      <w:r>
        <w:rPr>
          <w:rFonts w:ascii="PT Astra Serif" w:hAnsi="PT Astra Serif" w:cs="PT Astra Serif"/>
          <w:szCs w:val="28"/>
        </w:rPr>
        <w:t xml:space="preserve">ожить на заместителя начальника - </w:t>
      </w:r>
      <w:r>
        <w:rPr>
          <w:rFonts w:ascii="PT Astra Serif" w:hAnsi="PT Astra Serif" w:cs="PT Astra Serif"/>
          <w:szCs w:val="28"/>
        </w:rPr>
        <w:t xml:space="preserve">председателя комитета организации ветеринарной деятельности.</w:t>
      </w:r>
      <w:r>
        <w:rPr>
          <w:rFonts w:ascii="PT Astra Serif" w:hAnsi="PT Astra Serif"/>
          <w:szCs w:val="28"/>
        </w:rPr>
      </w:r>
      <w:r/>
    </w:p>
    <w:p>
      <w:pPr>
        <w:pStyle w:val="64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4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4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47"/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134" w:right="707" w:bottom="720" w:left="1134" w:header="709" w:footer="709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Cs w:val="28"/>
        </w:rPr>
        <w:t xml:space="preserve">Начальник</w:t>
      </w:r>
      <w:r>
        <w:rPr>
          <w:rFonts w:ascii="PT Astra Serif" w:hAnsi="PT Astra Serif"/>
          <w:szCs w:val="28"/>
        </w:rPr>
        <w:t xml:space="preserve"> департамента</w:t>
      </w:r>
      <w:r>
        <w:rPr>
          <w:rFonts w:ascii="PT Astra Serif" w:hAnsi="PT Astra Serif"/>
          <w:szCs w:val="28"/>
        </w:rPr>
        <w:tab/>
        <w:t xml:space="preserve">В.В.Табакаев</w:t>
      </w:r>
      <w:r/>
      <w:r>
        <w:rPr>
          <w:rFonts w:ascii="PT Astra Serif" w:hAnsi="PT Astra Serif"/>
          <w:szCs w:val="28"/>
        </w:rPr>
      </w:r>
    </w:p>
    <w:p>
      <w:pPr>
        <w:pStyle w:val="619"/>
        <w:ind w:left="9882" w:firstLine="26"/>
        <w:pageBreakBefore/>
      </w:pPr>
      <w:r>
        <w:rPr>
          <w:rFonts w:ascii="PT Astra Serif" w:hAnsi="PT Astra Serif"/>
          <w:sz w:val="28"/>
          <w:szCs w:val="28"/>
        </w:rPr>
        <w:t xml:space="preserve">Приложение </w:t>
      </w:r>
      <w:r>
        <w:rPr>
          <w:rFonts w:ascii="PT Astra Serif" w:hAnsi="PT Astra Serif"/>
          <w:sz w:val="28"/>
          <w:szCs w:val="28"/>
        </w:rPr>
        <w:t xml:space="preserve">к распоряжению</w:t>
      </w:r>
      <w:r>
        <w:rPr>
          <w:rFonts w:ascii="PT Astra Serif" w:hAnsi="PT Astra Serif"/>
        </w:rPr>
      </w:r>
      <w:r/>
    </w:p>
    <w:p>
      <w:pPr>
        <w:pStyle w:val="619"/>
        <w:ind w:left="9882" w:firstLine="26"/>
        <w:jc w:val="left"/>
      </w:pPr>
      <w:r>
        <w:rPr>
          <w:rFonts w:ascii="PT Astra Serif" w:hAnsi="PT Astra Serif"/>
          <w:sz w:val="28"/>
          <w:szCs w:val="28"/>
        </w:rPr>
        <w:t xml:space="preserve">Департамента ветеринарии Томской области</w:t>
      </w:r>
      <w:r>
        <w:rPr>
          <w:rFonts w:ascii="PT Astra Serif" w:hAnsi="PT Astra Serif"/>
        </w:rPr>
      </w:r>
      <w:r/>
    </w:p>
    <w:p>
      <w:pPr>
        <w:pStyle w:val="619"/>
        <w:ind w:left="9882" w:firstLine="26"/>
      </w:pPr>
      <w:r>
        <w:rPr>
          <w:rFonts w:ascii="PT Astra Serif" w:hAnsi="PT Astra Serif"/>
          <w:sz w:val="28"/>
          <w:szCs w:val="28"/>
        </w:rPr>
        <w:t xml:space="preserve">от 16.09.202</w:t>
      </w:r>
      <w:r>
        <w:rPr>
          <w:rFonts w:ascii="PT Astra Serif" w:hAnsi="PT Astra Serif"/>
          <w:sz w:val="28"/>
          <w:szCs w:val="28"/>
        </w:rPr>
        <w:t xml:space="preserve">5</w:t>
      </w:r>
      <w:r>
        <w:rPr>
          <w:rFonts w:ascii="PT Astra Serif" w:hAnsi="PT Astra Serif"/>
          <w:sz w:val="28"/>
          <w:szCs w:val="28"/>
        </w:rPr>
        <w:t xml:space="preserve"> № 12-р</w:t>
      </w:r>
      <w:r/>
    </w:p>
    <w:p>
      <w:pPr>
        <w:pStyle w:val="632"/>
        <w:spacing w:before="0" w:after="0"/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/>
    </w:p>
    <w:p>
      <w:pPr>
        <w:pStyle w:val="632"/>
        <w:jc w:val="center"/>
        <w:spacing w:before="0" w:after="0"/>
      </w:pPr>
      <w:r>
        <w:rPr>
          <w:rFonts w:ascii="PT Astra Serif" w:hAnsi="PT Astra Serif"/>
        </w:rPr>
        <w:t xml:space="preserve">План</w:t>
      </w:r>
      <w:r>
        <w:rPr>
          <w:rFonts w:ascii="PT Astra Serif" w:hAnsi="PT Astra Serif"/>
        </w:rPr>
      </w:r>
      <w:r/>
    </w:p>
    <w:p>
      <w:pPr>
        <w:pStyle w:val="619"/>
        <w:ind w:firstLine="709"/>
        <w:jc w:val="center"/>
      </w:pPr>
      <w:r>
        <w:rPr>
          <w:rFonts w:ascii="PT Astra Serif" w:hAnsi="PT Astra Serif"/>
          <w:sz w:val="28"/>
          <w:szCs w:val="28"/>
        </w:rPr>
        <w:t xml:space="preserve">мероприятий по предотвращению распространения и ликвидации лептоспироза </w:t>
      </w:r>
      <w:r>
        <w:rPr>
          <w:rFonts w:ascii="PT Astra Serif" w:hAnsi="PT Astra Serif"/>
          <w:sz w:val="28"/>
          <w:szCs w:val="28"/>
        </w:rPr>
      </w:r>
      <w:r/>
    </w:p>
    <w:p>
      <w:pPr>
        <w:pStyle w:val="619"/>
        <w:ind w:firstLine="709"/>
        <w:jc w:val="center"/>
      </w:pPr>
      <w:r>
        <w:rPr>
          <w:rFonts w:ascii="PT Astra Serif" w:hAnsi="PT Astra Serif"/>
          <w:sz w:val="28"/>
          <w:szCs w:val="28"/>
        </w:rPr>
        <w:t xml:space="preserve">в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Style w:val="625"/>
          <w:rFonts w:ascii="PT Astra Serif" w:hAnsi="PT Astra Serif"/>
          <w:sz w:val="28"/>
          <w:szCs w:val="28"/>
        </w:rPr>
        <w:t xml:space="preserve">крестьянско</w:t>
      </w:r>
      <w:r>
        <w:rPr>
          <w:rStyle w:val="625"/>
          <w:rFonts w:ascii="PT Astra Serif" w:hAnsi="PT Astra Serif"/>
          <w:sz w:val="28"/>
          <w:szCs w:val="28"/>
        </w:rPr>
        <w:t xml:space="preserve">м (</w:t>
      </w:r>
      <w:r>
        <w:rPr>
          <w:rStyle w:val="625"/>
          <w:rFonts w:ascii="PT Astra Serif" w:hAnsi="PT Astra Serif"/>
          <w:sz w:val="28"/>
          <w:szCs w:val="28"/>
        </w:rPr>
        <w:t xml:space="preserve">фермерском</w:t>
      </w:r>
      <w:r>
        <w:rPr>
          <w:rStyle w:val="625"/>
          <w:rFonts w:ascii="PT Astra Serif" w:hAnsi="PT Astra Serif"/>
          <w:sz w:val="28"/>
          <w:szCs w:val="28"/>
        </w:rPr>
        <w:t xml:space="preserve">)</w:t>
      </w:r>
      <w:r>
        <w:rPr>
          <w:rStyle w:val="625"/>
          <w:rFonts w:ascii="PT Astra Serif" w:hAnsi="PT Astra Serif"/>
          <w:sz w:val="28"/>
          <w:szCs w:val="28"/>
        </w:rPr>
        <w:t xml:space="preserve"> хозяйстве</w:t>
      </w:r>
      <w:r>
        <w:rPr>
          <w:rStyle w:val="625"/>
          <w:rFonts w:ascii="PT Astra Serif" w:hAnsi="PT Astra Serif"/>
          <w:sz w:val="28"/>
          <w:szCs w:val="28"/>
        </w:rPr>
        <w:t xml:space="preserve"> </w:t>
      </w:r>
      <w:r>
        <w:rPr>
          <w:rStyle w:val="625"/>
          <w:rFonts w:ascii="PT Astra Serif" w:hAnsi="PT Astra Serif"/>
          <w:sz w:val="28"/>
          <w:szCs w:val="28"/>
        </w:rPr>
        <w:t xml:space="preserve">Дудкин</w:t>
      </w:r>
      <w:r>
        <w:rPr>
          <w:rStyle w:val="625"/>
          <w:rFonts w:ascii="PT Astra Serif" w:hAnsi="PT Astra Serif"/>
          <w:sz w:val="28"/>
          <w:szCs w:val="28"/>
        </w:rPr>
        <w:t xml:space="preserve">а</w:t>
      </w:r>
      <w:r>
        <w:rPr>
          <w:rStyle w:val="625"/>
          <w:rFonts w:ascii="PT Astra Serif" w:hAnsi="PT Astra Serif"/>
          <w:sz w:val="28"/>
          <w:szCs w:val="28"/>
        </w:rPr>
        <w:t xml:space="preserve"> Д</w:t>
      </w:r>
      <w:r>
        <w:rPr>
          <w:rStyle w:val="625"/>
          <w:rFonts w:ascii="PT Astra Serif" w:hAnsi="PT Astra Serif"/>
          <w:sz w:val="28"/>
          <w:szCs w:val="28"/>
        </w:rPr>
        <w:t xml:space="preserve">анилы </w:t>
      </w:r>
      <w:r>
        <w:rPr>
          <w:rStyle w:val="625"/>
          <w:rFonts w:ascii="PT Astra Serif" w:hAnsi="PT Astra Serif"/>
          <w:sz w:val="28"/>
          <w:szCs w:val="28"/>
        </w:rPr>
        <w:t xml:space="preserve">Н</w:t>
      </w:r>
      <w:r>
        <w:rPr>
          <w:rStyle w:val="625"/>
          <w:rFonts w:ascii="PT Astra Serif" w:hAnsi="PT Astra Serif"/>
          <w:sz w:val="28"/>
          <w:szCs w:val="28"/>
        </w:rPr>
        <w:t xml:space="preserve">иколаевича</w:t>
      </w:r>
      <w:r>
        <w:rPr>
          <w:rFonts w:ascii="PT Astra Serif" w:hAnsi="PT Astra Serif"/>
          <w:sz w:val="28"/>
          <w:szCs w:val="28"/>
        </w:rPr>
      </w:r>
      <w:r/>
    </w:p>
    <w:p>
      <w:pPr>
        <w:pStyle w:val="619"/>
        <w:ind w:firstLine="709"/>
        <w:jc w:val="center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/>
    </w:p>
    <w:tbl>
      <w:tblPr>
        <w:tblW w:w="15550" w:type="dxa"/>
        <w:tblInd w:w="-5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98"/>
        <w:gridCol w:w="7278"/>
        <w:gridCol w:w="3564"/>
        <w:gridCol w:w="13"/>
        <w:gridCol w:w="4097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п/п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27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мероприятий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64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Срок исполнения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0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Ответственный за исполнение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50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В эпизоотическом очаге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– КФХ Дудкин Д.Н. (Томская обл., Кожевниковский р-н, с. Уртам, ул. Тельмана, д. 36 стр. 9)</w:t>
            </w:r>
            <w:r>
              <w:rPr>
                <w:rFonts w:ascii="PT Astra Serif" w:hAnsi="PT Astra Serif"/>
                <w:b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278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Обеспечить изолированное содержание больных восприимчивых животных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77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 течение периода карантина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97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Владелец</w:t>
            </w:r>
            <w:r>
              <w:rPr>
                <w:rStyle w:val="625"/>
                <w:rFonts w:ascii="PT Astra Serif" w:hAnsi="PT Astra Serif"/>
                <w:sz w:val="26"/>
                <w:szCs w:val="26"/>
              </w:rPr>
              <w:t xml:space="preserve"> Дудкин Д.Н. (далее – владелец)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278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Обеспечить проведение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клинического осмотра и термометрии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всего поголовья восприимчивых животных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77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Ежедневно 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97" w:type="dxa"/>
            <w:vAlign w:val="top"/>
            <w:textDirection w:val="lrTb"/>
            <w:noWrap w:val="false"/>
          </w:tcPr>
          <w:p>
            <w:pPr>
              <w:pStyle w:val="619"/>
            </w:pPr>
            <w:r>
              <w:rPr>
                <w:rFonts w:ascii="PT Astra Serif" w:hAnsi="PT Astra Serif"/>
                <w:sz w:val="26"/>
                <w:szCs w:val="26"/>
              </w:rPr>
              <w:t xml:space="preserve">ОГАУ 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Кожевниковское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районное ветеринарное управление»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,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pStyle w:val="61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Владелец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278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Обеспечить вакцинацию клинически здоровых восприимчивых животных против лептоспироза 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77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Немедленно  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97" w:type="dxa"/>
            <w:vAlign w:val="top"/>
            <w:textDirection w:val="lrTb"/>
            <w:noWrap w:val="false"/>
          </w:tcPr>
          <w:p>
            <w:pPr>
              <w:pStyle w:val="619"/>
            </w:pPr>
            <w:r>
              <w:rPr>
                <w:rFonts w:ascii="PT Astra Serif" w:hAnsi="PT Astra Serif"/>
                <w:sz w:val="26"/>
                <w:szCs w:val="26"/>
              </w:rPr>
              <w:t xml:space="preserve">ОГАУ 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Кожевниковское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районное ветеринарное управление»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,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pStyle w:val="61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Владелец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4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278" w:type="dxa"/>
            <w:vAlign w:val="top"/>
            <w:textDirection w:val="lrTb"/>
            <w:noWrap w:val="false"/>
          </w:tcPr>
          <w:p>
            <w:pPr>
              <w:pStyle w:val="619"/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Обработать лептоспироцидными препаратами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больных восприимчивых животных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77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Немедленно  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97" w:type="dxa"/>
            <w:vAlign w:val="top"/>
            <w:textDirection w:val="lrTb"/>
            <w:noWrap w:val="false"/>
          </w:tcPr>
          <w:p>
            <w:pPr>
              <w:pStyle w:val="619"/>
            </w:pPr>
            <w:r>
              <w:rPr>
                <w:rFonts w:ascii="PT Astra Serif" w:hAnsi="PT Astra Serif"/>
                <w:sz w:val="26"/>
                <w:szCs w:val="26"/>
              </w:rPr>
              <w:t xml:space="preserve">ОГАУ 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Кожевниковское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районное ветеринарное управление»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,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pStyle w:val="619"/>
            </w:pPr>
            <w:r>
              <w:rPr>
                <w:rFonts w:ascii="PT Astra Serif" w:hAnsi="PT Astra Serif"/>
                <w:sz w:val="26"/>
                <w:szCs w:val="26"/>
              </w:rPr>
              <w:t xml:space="preserve">Владелец</w:t>
            </w:r>
            <w:r>
              <w:rPr>
                <w:rFonts w:ascii="PT Astra Serif" w:hAnsi="PT Astra Serif"/>
              </w:rPr>
            </w:r>
            <w:r/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  <w:r>
              <w:rPr>
                <w:rFonts w:ascii="PT Astra Serif" w:hAnsi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5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278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Проверить путем микроскопии мочи эффективность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лечения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лептоспироцидными препаратами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77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Через 10-15 дней после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дня окончания лечения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лептоспироцидными препаратами 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97" w:type="dxa"/>
            <w:vAlign w:val="top"/>
            <w:textDirection w:val="lrTb"/>
            <w:noWrap w:val="false"/>
          </w:tcPr>
          <w:p>
            <w:pPr>
              <w:pStyle w:val="619"/>
            </w:pPr>
            <w:r>
              <w:rPr>
                <w:rFonts w:ascii="PT Astra Serif" w:hAnsi="PT Astra Serif"/>
                <w:sz w:val="26"/>
                <w:szCs w:val="26"/>
              </w:rPr>
              <w:t xml:space="preserve">ОГАУ 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Кожевниковское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районное ветеринарное управление»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,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Владелец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6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278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Обеспечить вакцинацию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восприимчивых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животных, подвергнутых лечению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77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Чер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ез 5-7 дней после выздоровления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97" w:type="dxa"/>
            <w:vAlign w:val="top"/>
            <w:textDirection w:val="lrTb"/>
            <w:noWrap w:val="false"/>
          </w:tcPr>
          <w:p>
            <w:pPr>
              <w:pStyle w:val="619"/>
            </w:pPr>
            <w:r>
              <w:rPr>
                <w:rFonts w:ascii="PT Astra Serif" w:hAnsi="PT Astra Serif"/>
                <w:sz w:val="26"/>
                <w:szCs w:val="26"/>
              </w:rPr>
              <w:t xml:space="preserve">ОГАУ 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Кожевниковское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районное ветеринарное управление»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,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Владелец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7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278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Исследовать сыворотку крови от восприимчивых животных после вакцинации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77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Крупный рогатый скот через 90 календарных дней после вакцинации, восприимчивые животные других видов – через 60 календарных дней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после вакцинации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97" w:type="dxa"/>
            <w:vAlign w:val="top"/>
            <w:textDirection w:val="lrTb"/>
            <w:noWrap w:val="false"/>
          </w:tcPr>
          <w:p>
            <w:pPr>
              <w:pStyle w:val="619"/>
            </w:pPr>
            <w:r>
              <w:rPr>
                <w:rFonts w:ascii="PT Astra Serif" w:hAnsi="PT Astra Serif"/>
                <w:sz w:val="26"/>
                <w:szCs w:val="26"/>
              </w:rPr>
              <w:t xml:space="preserve">ОГАУ 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Кожевниковское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районное ветеринарное управление»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,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Владелец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8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278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Продуктивных восприимчивых животных, выращиваемых с целью откорма, подвергнутых вакцинации, после откорма направить на убой в оборудованные для этих целей убойные пункты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77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 течение периода карантина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97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Владелец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9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278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Оборудовать дезинфекционные барьеры на входе (въезде) и выходе (выезде) на территорию (с территории) эпизоотического очага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77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Немедленно 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97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Владелец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10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278" w:type="dxa"/>
            <w:vAlign w:val="top"/>
            <w:textDirection w:val="lrTb"/>
            <w:noWrap w:val="false"/>
          </w:tcPr>
          <w:p>
            <w:pPr>
              <w:pStyle w:val="619"/>
            </w:pPr>
            <w:r>
              <w:rPr>
                <w:rFonts w:ascii="PT Astra Serif" w:hAnsi="PT Astra Serif"/>
                <w:sz w:val="26"/>
                <w:szCs w:val="26"/>
              </w:rPr>
              <w:t xml:space="preserve">Молоко и молочные продукты,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полученн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ы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 от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клинически здоровых восприимчивых животных, в сыворотке крови которых выявлены антитела к возбудителю в РМА без нарастания титра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использовать без ограничения;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pStyle w:val="619"/>
            </w:pPr>
            <w:r>
              <w:rPr>
                <w:rFonts w:ascii="PT Astra Serif" w:hAnsi="PT Astra Serif"/>
                <w:sz w:val="26"/>
                <w:szCs w:val="26"/>
              </w:rPr>
              <w:t xml:space="preserve">Молоко и молочные продукты,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полученн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ы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 от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восприимчивых животных, подозреваемых в заболевании лептоспирозом,  обеззараживать кипячением в течение 5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минут и использовать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в корм внутри хозяйства;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Молоко и молочные продукты,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полученн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ы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 от больных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восприимчивых животных лептоспирозом животных, уничтожать или обеззараживать кипячением в течение 5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минут и использовать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в корм внутри хозяйства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77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 течение периода карантина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97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Владелец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11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278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Обеспечить смену и дезинфекцию одежды и обуви персонала и транспортных средств при выходе (выезде) с территории эпизоотического очага, а также инвентарь и предметы ухода за животными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77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 течение периода карантина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97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Владелец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12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7278" w:type="dxa"/>
            <w:vAlign w:val="top"/>
            <w:textDirection w:val="lrTb"/>
            <w:noWrap w:val="false"/>
          </w:tcPr>
          <w:p>
            <w:pPr>
              <w:pStyle w:val="619"/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Обеспечить дезинфекцию помещений в три этапа: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pStyle w:val="619"/>
            </w:pPr>
            <w:r>
              <w:rPr>
                <w:rFonts w:ascii="PT Astra Serif" w:hAnsi="PT Astra Serif"/>
                <w:sz w:val="26"/>
                <w:szCs w:val="26"/>
              </w:rPr>
              <w:t xml:space="preserve">- после изоляции больных восприимчивых животных;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pStyle w:val="619"/>
            </w:pPr>
            <w:r>
              <w:rPr>
                <w:rFonts w:ascii="PT Astra Serif" w:hAnsi="PT Astra Serif"/>
                <w:sz w:val="26"/>
                <w:szCs w:val="26"/>
              </w:rPr>
              <w:t xml:space="preserve">- после проведения механической очистки;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перед отменой карантина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bottom w:val="single" w:color="000000" w:sz="4" w:space="0"/>
            </w:tcBorders>
            <w:tcW w:w="3577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 течение периода карантина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97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Владелец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13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7278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Обеспечить проведение дератизации и дезинсекции животноводческих помещений и помещений для приготовления и хранения кормов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bottom w:val="single" w:color="000000" w:sz="4" w:space="0"/>
            </w:tcBorders>
            <w:tcW w:w="3577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 течение периода карантина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97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Владелец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14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7278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Обеспечить отсутствие восприимчивых животных без владельцев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bottom w:val="single" w:color="000000" w:sz="4" w:space="0"/>
            </w:tcBorders>
            <w:tcW w:w="3577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 течение периода карантина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97" w:type="dxa"/>
            <w:vAlign w:val="top"/>
            <w:textDirection w:val="lrTb"/>
            <w:noWrap w:val="false"/>
          </w:tcPr>
          <w:p>
            <w:pPr>
              <w:pStyle w:val="619"/>
            </w:pPr>
            <w:r>
              <w:rPr>
                <w:rFonts w:ascii="PT Astra Serif" w:hAnsi="PT Astra Serif"/>
                <w:sz w:val="26"/>
                <w:szCs w:val="26"/>
              </w:rPr>
              <w:t xml:space="preserve">Владелец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15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278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Обеспечить утилизацию и уничтожение трупов восприимчивых животных, абортированных плодов с плодными оболочками в соответствии с ветеринарными правилами перемещения, хранения, переработки и утилизации биологических отходов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77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 течение периода карантина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97" w:type="dxa"/>
            <w:vAlign w:val="top"/>
            <w:textDirection w:val="lrTb"/>
            <w:noWrap w:val="false"/>
          </w:tcPr>
          <w:p>
            <w:pPr>
              <w:pStyle w:val="619"/>
            </w:pPr>
            <w:r>
              <w:rPr>
                <w:rFonts w:ascii="PT Astra Serif" w:hAnsi="PT Astra Serif"/>
                <w:sz w:val="26"/>
                <w:szCs w:val="26"/>
              </w:rPr>
              <w:t xml:space="preserve">Владелец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16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7278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Обеспечить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использование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кормов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внутри эпизоотичексого очага после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их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обеззараживания в соответствии с п. 36 ветеринарных правил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bottom w:val="single" w:color="000000" w:sz="4" w:space="0"/>
            </w:tcBorders>
            <w:tcW w:w="3577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 течение периода карантина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97" w:type="dxa"/>
            <w:vAlign w:val="top"/>
            <w:textDirection w:val="lrTb"/>
            <w:noWrap w:val="false"/>
          </w:tcPr>
          <w:p>
            <w:pPr>
              <w:pStyle w:val="619"/>
            </w:pPr>
            <w:r>
              <w:rPr>
                <w:rFonts w:ascii="PT Astra Serif" w:hAnsi="PT Astra Serif"/>
                <w:sz w:val="26"/>
                <w:szCs w:val="26"/>
              </w:rPr>
              <w:t xml:space="preserve">Владелец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17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7278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Обеспечить биотермическое обеззараживание навоза и подстилки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bottom w:val="single" w:color="000000" w:sz="4" w:space="0"/>
            </w:tcBorders>
            <w:tcW w:w="3577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 течение периода карантина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97" w:type="dxa"/>
            <w:vAlign w:val="top"/>
            <w:textDirection w:val="lrTb"/>
            <w:noWrap w:val="false"/>
          </w:tcPr>
          <w:p>
            <w:pPr>
              <w:pStyle w:val="619"/>
            </w:pPr>
            <w:r>
              <w:rPr>
                <w:rFonts w:ascii="PT Astra Serif" w:hAnsi="PT Astra Serif"/>
                <w:sz w:val="26"/>
                <w:szCs w:val="26"/>
              </w:rPr>
              <w:t xml:space="preserve">Владелец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gridSpan w:val="5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50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В неблагополучном пункте – территория радиусом 2 км вокруг эпизоотического очага</w:t>
            </w:r>
            <w:r>
              <w:rPr>
                <w:rFonts w:ascii="PT Astra Serif" w:hAnsi="PT Astra Serif"/>
                <w:b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18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7278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Запретить проведение сельскохозяйственных ярмарок, выставок, торгов и других мероприятий, связанных со скоплением  восприимчивых животных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bottom w:val="single" w:color="000000" w:sz="4" w:space="0"/>
            </w:tcBorders>
            <w:tcW w:w="3577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 течение периода карантина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97" w:type="dxa"/>
            <w:vAlign w:val="top"/>
            <w:textDirection w:val="lrTb"/>
            <w:noWrap w:val="false"/>
          </w:tcPr>
          <w:p>
            <w:pPr>
              <w:pStyle w:val="619"/>
            </w:pPr>
            <w:r>
              <w:rPr>
                <w:rFonts w:ascii="PT Astra Serif" w:hAnsi="PT Astra Serif"/>
                <w:sz w:val="26"/>
                <w:szCs w:val="26"/>
              </w:rPr>
              <w:t xml:space="preserve">Администрация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Уртамского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сельского поселения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(по согласованию)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19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7278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Обеспечить проведение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клинического осмотра и термометрии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восприимчивых животных, за исключением диких в состоянии естественной свободы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bottom w:val="single" w:color="000000" w:sz="4" w:space="0"/>
            </w:tcBorders>
            <w:tcW w:w="3577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 течение периода карантина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97" w:type="dxa"/>
            <w:vAlign w:val="top"/>
            <w:textDirection w:val="lrTb"/>
            <w:noWrap w:val="false"/>
          </w:tcPr>
          <w:p>
            <w:pPr>
              <w:pStyle w:val="619"/>
            </w:pPr>
            <w:r>
              <w:rPr>
                <w:rFonts w:ascii="PT Astra Serif" w:hAnsi="PT Astra Serif"/>
                <w:sz w:val="26"/>
                <w:szCs w:val="26"/>
              </w:rPr>
              <w:t xml:space="preserve">ОГАУ 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Кожевниковское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районное ветеринарное управление»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</w:r>
            <w:r>
              <w:rPr>
                <w:rFonts w:ascii="PT Astra Serif" w:hAnsi="PT Astra Serif"/>
                <w:b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7278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Обеспечить вакцинацию клинически здоровых восприимчивых животных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bottom w:val="single" w:color="000000" w:sz="4" w:space="0"/>
            </w:tcBorders>
            <w:tcW w:w="3577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 течение периода карантина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97" w:type="dxa"/>
            <w:vAlign w:val="top"/>
            <w:textDirection w:val="lrTb"/>
            <w:noWrap w:val="false"/>
          </w:tcPr>
          <w:p>
            <w:pPr>
              <w:pStyle w:val="619"/>
            </w:pPr>
            <w:r>
              <w:rPr>
                <w:rFonts w:ascii="PT Astra Serif" w:hAnsi="PT Astra Serif"/>
                <w:sz w:val="26"/>
                <w:szCs w:val="26"/>
              </w:rPr>
              <w:t xml:space="preserve">ОГАУ 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Кожевниковское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районное ветеринарное управление»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pStyle w:val="647"/>
        <w:rPr>
          <w:rFonts w:ascii="PT Astra Serif" w:hAnsi="PT Astra Serif"/>
        </w:rPr>
      </w:pPr>
      <w:r/>
      <w:r>
        <w:rPr>
          <w:rFonts w:ascii="PT Astra Serif" w:hAnsi="PT Astra Serif"/>
          <w:szCs w:val="28"/>
        </w:rPr>
      </w:r>
      <w:r/>
    </w:p>
    <w:sectPr>
      <w:footnotePr/>
      <w:endnotePr/>
      <w:type w:val="nextPage"/>
      <w:pgSz w:w="16838" w:h="11906" w:orient="landscape"/>
      <w:pgMar w:top="1134" w:right="1134" w:bottom="707" w:left="720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Courier New">
    <w:panose1 w:val="02070309020205020404"/>
  </w:font>
  <w:font w:name="Microsoft YaHei">
    <w:panose1 w:val="020B0503020204020204"/>
  </w:font>
  <w:font w:name="Tahoma">
    <w:panose1 w:val="020B0604030504040204"/>
  </w:font>
  <w:font w:name="Liberation Sans">
    <w:panose1 w:val="020B0604020202020204"/>
  </w:font>
  <w:font w:name="OpenSymbol">
    <w:panose1 w:val="05010000000000000000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37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1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2">
      <w:start w:val="1"/>
      <w:numFmt w:val="decimal"/>
      <w:pStyle w:val="620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4">
      <w:start w:val="1"/>
      <w:numFmt w:val="decimal"/>
      <w:pStyle w:val="621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19"/>
    <w:next w:val="61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28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19"/>
    <w:next w:val="61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28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19"/>
    <w:next w:val="61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28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19"/>
    <w:next w:val="61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28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19"/>
    <w:next w:val="61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28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19"/>
    <w:next w:val="61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28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19"/>
    <w:next w:val="61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28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19"/>
    <w:next w:val="61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28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19"/>
    <w:next w:val="61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28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1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19"/>
    <w:next w:val="61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28"/>
    <w:link w:val="33"/>
    <w:uiPriority w:val="10"/>
    <w:rPr>
      <w:sz w:val="48"/>
      <w:szCs w:val="48"/>
    </w:rPr>
  </w:style>
  <w:style w:type="paragraph" w:styleId="35">
    <w:name w:val="Subtitle"/>
    <w:basedOn w:val="619"/>
    <w:next w:val="61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28"/>
    <w:link w:val="35"/>
    <w:uiPriority w:val="11"/>
    <w:rPr>
      <w:sz w:val="24"/>
      <w:szCs w:val="24"/>
    </w:rPr>
  </w:style>
  <w:style w:type="paragraph" w:styleId="37">
    <w:name w:val="Quote"/>
    <w:basedOn w:val="619"/>
    <w:next w:val="61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19"/>
    <w:next w:val="61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1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28"/>
    <w:link w:val="41"/>
    <w:uiPriority w:val="99"/>
  </w:style>
  <w:style w:type="paragraph" w:styleId="43">
    <w:name w:val="Footer"/>
    <w:basedOn w:val="61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28"/>
    <w:link w:val="43"/>
    <w:uiPriority w:val="99"/>
  </w:style>
  <w:style w:type="paragraph" w:styleId="45">
    <w:name w:val="Caption"/>
    <w:basedOn w:val="619"/>
    <w:next w:val="6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1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28"/>
    <w:uiPriority w:val="99"/>
    <w:unhideWhenUsed/>
    <w:rPr>
      <w:vertAlign w:val="superscript"/>
    </w:rPr>
  </w:style>
  <w:style w:type="paragraph" w:styleId="177">
    <w:name w:val="endnote text"/>
    <w:basedOn w:val="61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28"/>
    <w:uiPriority w:val="99"/>
    <w:semiHidden/>
    <w:unhideWhenUsed/>
    <w:rPr>
      <w:vertAlign w:val="superscript"/>
    </w:rPr>
  </w:style>
  <w:style w:type="paragraph" w:styleId="180">
    <w:name w:val="toc 1"/>
    <w:basedOn w:val="619"/>
    <w:next w:val="61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19"/>
    <w:next w:val="61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19"/>
    <w:next w:val="61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19"/>
    <w:next w:val="61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19"/>
    <w:next w:val="61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19"/>
    <w:next w:val="61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19"/>
    <w:next w:val="61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19"/>
    <w:next w:val="61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19"/>
    <w:next w:val="61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19"/>
    <w:next w:val="619"/>
    <w:uiPriority w:val="99"/>
    <w:unhideWhenUsed/>
    <w:pPr>
      <w:spacing w:after="0" w:afterAutospacing="0"/>
    </w:pPr>
  </w:style>
  <w:style w:type="paragraph" w:styleId="619" w:default="1">
    <w:name w:val="Normal"/>
    <w:next w:val="619"/>
    <w:link w:val="619"/>
    <w:qFormat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eastAsia="Lucida Sans Unicode" w:cs="Mangal"/>
      <w:sz w:val="28"/>
      <w:szCs w:val="24"/>
      <w:lang w:val="ru-RU" w:eastAsia="zh-CN" w:bidi="hi-IN"/>
    </w:rPr>
  </w:style>
  <w:style w:type="paragraph" w:styleId="620">
    <w:name w:val="Заголовок 3"/>
    <w:basedOn w:val="619"/>
    <w:next w:val="619"/>
    <w:link w:val="619"/>
    <w:qFormat/>
    <w:pPr>
      <w:numPr>
        <w:ilvl w:val="2"/>
        <w:numId w:val="1"/>
      </w:numPr>
      <w:jc w:val="center"/>
      <w:keepNext/>
      <w:outlineLvl w:val="2"/>
    </w:pPr>
    <w:rPr>
      <w:b/>
    </w:rPr>
  </w:style>
  <w:style w:type="paragraph" w:styleId="621">
    <w:name w:val="Заголовок 5"/>
    <w:basedOn w:val="619"/>
    <w:next w:val="619"/>
    <w:link w:val="619"/>
    <w:qFormat/>
    <w:pPr>
      <w:numPr>
        <w:ilvl w:val="4"/>
        <w:numId w:val="1"/>
      </w:numPr>
      <w:jc w:val="center"/>
      <w:keepNext/>
      <w:outlineLvl w:val="4"/>
    </w:pPr>
    <w:rPr>
      <w:b/>
      <w:sz w:val="36"/>
    </w:rPr>
  </w:style>
  <w:style w:type="character" w:styleId="622">
    <w:name w:val="Основной шрифт абзаца"/>
    <w:next w:val="622"/>
    <w:link w:val="619"/>
    <w:uiPriority w:val="1"/>
    <w:semiHidden/>
    <w:unhideWhenUsed/>
  </w:style>
  <w:style w:type="table" w:styleId="623">
    <w:name w:val="Обычная таблица"/>
    <w:next w:val="623"/>
    <w:link w:val="619"/>
    <w:uiPriority w:val="99"/>
    <w:semiHidden/>
    <w:unhideWhenUsed/>
    <w:tblPr/>
  </w:style>
  <w:style w:type="numbering" w:styleId="624">
    <w:name w:val="Нет списка"/>
    <w:next w:val="624"/>
    <w:link w:val="619"/>
    <w:uiPriority w:val="99"/>
    <w:semiHidden/>
    <w:unhideWhenUsed/>
  </w:style>
  <w:style w:type="character" w:styleId="625">
    <w:name w:val="Основной шрифт абзаца1"/>
    <w:next w:val="625"/>
    <w:link w:val="619"/>
  </w:style>
  <w:style w:type="character" w:styleId="626">
    <w:name w:val="Маркеры списка"/>
    <w:next w:val="626"/>
    <w:link w:val="619"/>
    <w:rPr>
      <w:rFonts w:ascii="OpenSymbol" w:hAnsi="OpenSymbol" w:eastAsia="OpenSymbol" w:cs="OpenSymbol"/>
    </w:rPr>
  </w:style>
  <w:style w:type="character" w:styleId="627">
    <w:name w:val="Zeichenformat"/>
    <w:next w:val="627"/>
    <w:link w:val="619"/>
  </w:style>
  <w:style w:type="character" w:styleId="628" w:default="1">
    <w:name w:val="Default Paragraph Font"/>
    <w:next w:val="628"/>
    <w:link w:val="619"/>
  </w:style>
  <w:style w:type="paragraph" w:styleId="629">
    <w:name w:val="Заголовок"/>
    <w:basedOn w:val="619"/>
    <w:next w:val="630"/>
    <w:link w:val="619"/>
    <w:pPr>
      <w:keepNext/>
      <w:spacing w:before="240" w:after="120"/>
    </w:pPr>
    <w:rPr>
      <w:rFonts w:ascii="Liberation Sans" w:hAnsi="Liberation Sans" w:eastAsia="Microsoft YaHei"/>
      <w:szCs w:val="28"/>
    </w:rPr>
  </w:style>
  <w:style w:type="paragraph" w:styleId="630">
    <w:name w:val="Основной текст"/>
    <w:basedOn w:val="619"/>
    <w:next w:val="630"/>
    <w:link w:val="619"/>
    <w:rPr>
      <w:sz w:val="21"/>
    </w:rPr>
  </w:style>
  <w:style w:type="paragraph" w:styleId="631">
    <w:name w:val="Обычный1"/>
    <w:next w:val="631"/>
    <w:link w:val="61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paragraph" w:styleId="632">
    <w:name w:val="Название объекта"/>
    <w:basedOn w:val="619"/>
    <w:next w:val="630"/>
    <w:link w:val="619"/>
    <w:qFormat/>
    <w:pPr>
      <w:keepNext/>
      <w:spacing w:before="240" w:after="120"/>
    </w:pPr>
    <w:rPr>
      <w:rFonts w:ascii="Arial" w:hAnsi="Arial"/>
      <w:szCs w:val="28"/>
    </w:rPr>
  </w:style>
  <w:style w:type="paragraph" w:styleId="633">
    <w:name w:val="Подзаголовок"/>
    <w:basedOn w:val="632"/>
    <w:next w:val="630"/>
    <w:link w:val="619"/>
    <w:qFormat/>
    <w:pPr>
      <w:jc w:val="center"/>
    </w:pPr>
    <w:rPr>
      <w:i/>
      <w:iCs/>
    </w:rPr>
  </w:style>
  <w:style w:type="paragraph" w:styleId="634">
    <w:name w:val="Список"/>
    <w:basedOn w:val="630"/>
    <w:next w:val="634"/>
    <w:link w:val="619"/>
    <w:rPr>
      <w:rFonts w:ascii="Arial" w:hAnsi="Arial"/>
      <w:sz w:val="24"/>
    </w:rPr>
  </w:style>
  <w:style w:type="paragraph" w:styleId="635">
    <w:name w:val="Название объекта1"/>
    <w:basedOn w:val="619"/>
    <w:next w:val="635"/>
    <w:link w:val="619"/>
    <w:pPr>
      <w:spacing w:before="0" w:after="119"/>
      <w:suppressLineNumbers/>
    </w:pPr>
    <w:rPr>
      <w:i/>
      <w:iCs/>
    </w:rPr>
  </w:style>
  <w:style w:type="paragraph" w:styleId="636">
    <w:name w:val="Указатель1"/>
    <w:basedOn w:val="619"/>
    <w:next w:val="636"/>
    <w:link w:val="619"/>
    <w:pPr>
      <w:suppressLineNumbers/>
    </w:pPr>
    <w:rPr>
      <w:rFonts w:ascii="Arial" w:hAnsi="Arial"/>
      <w:sz w:val="24"/>
    </w:rPr>
  </w:style>
  <w:style w:type="paragraph" w:styleId="637">
    <w:name w:val="Верхний колонтитул"/>
    <w:basedOn w:val="619"/>
    <w:next w:val="637"/>
    <w:link w:val="619"/>
    <w:pPr>
      <w:tabs>
        <w:tab w:val="center" w:pos="5102" w:leader="none"/>
        <w:tab w:val="right" w:pos="10205" w:leader="none"/>
      </w:tabs>
      <w:suppressLineNumbers/>
    </w:pPr>
    <w:rPr>
      <w:sz w:val="21"/>
    </w:rPr>
  </w:style>
  <w:style w:type="paragraph" w:styleId="638">
    <w:name w:val="Верхний колонтитул справа"/>
    <w:basedOn w:val="619"/>
    <w:next w:val="638"/>
    <w:link w:val="619"/>
    <w:pPr>
      <w:tabs>
        <w:tab w:val="center" w:pos="5102" w:leader="none"/>
        <w:tab w:val="right" w:pos="10205" w:leader="none"/>
      </w:tabs>
      <w:suppressLineNumbers/>
    </w:pPr>
  </w:style>
  <w:style w:type="paragraph" w:styleId="639">
    <w:name w:val="Верхний колонтитул слева"/>
    <w:basedOn w:val="619"/>
    <w:next w:val="639"/>
    <w:link w:val="619"/>
    <w:pPr>
      <w:tabs>
        <w:tab w:val="center" w:pos="5102" w:leader="none"/>
        <w:tab w:val="right" w:pos="10205" w:leader="none"/>
      </w:tabs>
      <w:suppressLineNumbers/>
    </w:pPr>
  </w:style>
  <w:style w:type="paragraph" w:styleId="640">
    <w:name w:val="Горизонтальная линия"/>
    <w:basedOn w:val="619"/>
    <w:next w:val="630"/>
    <w:link w:val="619"/>
    <w:pPr>
      <w:spacing w:before="0" w:after="283"/>
      <w:suppressLineNumbers/>
    </w:pPr>
    <w:rPr>
      <w:sz w:val="12"/>
      <w:szCs w:val="12"/>
    </w:rPr>
  </w:style>
  <w:style w:type="paragraph" w:styleId="641">
    <w:name w:val="Основной текст с отступом"/>
    <w:basedOn w:val="630"/>
    <w:next w:val="641"/>
    <w:link w:val="619"/>
    <w:pPr>
      <w:ind w:left="283" w:right="0" w:firstLine="0"/>
    </w:pPr>
  </w:style>
  <w:style w:type="paragraph" w:styleId="642">
    <w:name w:val="Красная строка"/>
    <w:basedOn w:val="630"/>
    <w:next w:val="642"/>
    <w:link w:val="619"/>
    <w:pPr>
      <w:ind w:left="0" w:right="0" w:firstLine="709"/>
    </w:pPr>
  </w:style>
  <w:style w:type="paragraph" w:styleId="643">
    <w:name w:val="Таблица"/>
    <w:basedOn w:val="635"/>
    <w:next w:val="643"/>
    <w:link w:val="619"/>
  </w:style>
  <w:style w:type="paragraph" w:styleId="644">
    <w:name w:val="Текст1"/>
    <w:basedOn w:val="635"/>
    <w:next w:val="644"/>
    <w:link w:val="619"/>
  </w:style>
  <w:style w:type="paragraph" w:styleId="645">
    <w:name w:val="Содержимое таблицы"/>
    <w:basedOn w:val="619"/>
    <w:next w:val="645"/>
    <w:link w:val="619"/>
    <w:pPr>
      <w:suppressLineNumbers/>
    </w:pPr>
  </w:style>
  <w:style w:type="paragraph" w:styleId="646">
    <w:name w:val="Текст шапки"/>
    <w:basedOn w:val="630"/>
    <w:next w:val="646"/>
    <w:link w:val="619"/>
    <w:pPr>
      <w:jc w:val="center"/>
    </w:pPr>
    <w:rPr>
      <w:b/>
      <w:bCs/>
      <w:sz w:val="30"/>
      <w:szCs w:val="30"/>
    </w:rPr>
  </w:style>
  <w:style w:type="paragraph" w:styleId="647">
    <w:name w:val="Подпись_дол+ФИО"/>
    <w:basedOn w:val="630"/>
    <w:next w:val="642"/>
    <w:link w:val="619"/>
    <w:pPr>
      <w:jc w:val="left"/>
      <w:tabs>
        <w:tab w:val="right" w:pos="10035" w:leader="none"/>
      </w:tabs>
    </w:pPr>
    <w:rPr>
      <w:sz w:val="28"/>
    </w:rPr>
  </w:style>
  <w:style w:type="paragraph" w:styleId="648">
    <w:name w:val="Содержимое врезки"/>
    <w:basedOn w:val="630"/>
    <w:next w:val="648"/>
    <w:link w:val="619"/>
  </w:style>
  <w:style w:type="paragraph" w:styleId="649">
    <w:name w:val="Подпись"/>
    <w:basedOn w:val="630"/>
    <w:next w:val="649"/>
    <w:link w:val="619"/>
    <w:pPr>
      <w:suppressLineNumbers/>
    </w:pPr>
  </w:style>
  <w:style w:type="paragraph" w:styleId="650">
    <w:name w:val="ПодписьСогл_дол+ФИО"/>
    <w:basedOn w:val="647"/>
    <w:next w:val="650"/>
    <w:link w:val="619"/>
    <w:rPr>
      <w:sz w:val="24"/>
    </w:rPr>
  </w:style>
  <w:style w:type="paragraph" w:styleId="651">
    <w:name w:val="Текст в заданном формате"/>
    <w:basedOn w:val="619"/>
    <w:next w:val="651"/>
    <w:link w:val="619"/>
    <w:rPr>
      <w:rFonts w:ascii="Courier New" w:hAnsi="Courier New" w:eastAsia="Courier New" w:cs="Courier New"/>
      <w:sz w:val="20"/>
      <w:szCs w:val="20"/>
    </w:rPr>
  </w:style>
  <w:style w:type="paragraph" w:styleId="652">
    <w:name w:val="DocumentMap"/>
    <w:next w:val="652"/>
    <w:link w:val="61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Calibri" w:hAnsi="Calibri" w:eastAsia="Calibri" w:cs="Calibri"/>
      <w:lang w:val="ru-RU" w:eastAsia="ru-RU" w:bidi="ar-SA"/>
    </w:rPr>
  </w:style>
  <w:style w:type="paragraph" w:styleId="653">
    <w:name w:val="Standard"/>
    <w:next w:val="653"/>
    <w:link w:val="619"/>
    <w:qFormat/>
    <w:pPr>
      <w:jc w:val="both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eastAsia="Lucida Sans Unicode"/>
      <w:sz w:val="28"/>
      <w:szCs w:val="24"/>
      <w:lang w:val="ru-RU" w:eastAsia="zh-CN" w:bidi="hi-IN"/>
    </w:rPr>
  </w:style>
  <w:style w:type="paragraph" w:styleId="654">
    <w:name w:val="Основной текст с отступом1"/>
    <w:basedOn w:val="619"/>
    <w:next w:val="654"/>
    <w:link w:val="619"/>
    <w:pPr>
      <w:ind w:left="0" w:right="0" w:firstLine="709"/>
      <w:jc w:val="both"/>
      <w:widowControl w:val="off"/>
    </w:pPr>
    <w:rPr>
      <w:rFonts w:ascii="Times New Roman" w:hAnsi="Times New Roman" w:eastAsia="Lucida Sans Unicode" w:cs="Times New Roman"/>
      <w:sz w:val="21"/>
      <w:szCs w:val="24"/>
      <w:lang w:val="ru-RU" w:eastAsia="zh-CN" w:bidi="hi-IN"/>
    </w:rPr>
  </w:style>
  <w:style w:type="paragraph" w:styleId="655">
    <w:name w:val="Текст выноски"/>
    <w:basedOn w:val="619"/>
    <w:next w:val="655"/>
    <w:link w:val="656"/>
    <w:uiPriority w:val="99"/>
    <w:semiHidden/>
    <w:unhideWhenUsed/>
    <w:rPr>
      <w:rFonts w:ascii="Tahoma" w:hAnsi="Tahoma"/>
      <w:sz w:val="16"/>
      <w:szCs w:val="14"/>
    </w:rPr>
  </w:style>
  <w:style w:type="character" w:styleId="656">
    <w:name w:val="Текст выноски Знак"/>
    <w:next w:val="656"/>
    <w:link w:val="655"/>
    <w:uiPriority w:val="99"/>
    <w:semiHidden/>
    <w:rPr>
      <w:rFonts w:ascii="Tahoma" w:hAnsi="Tahoma" w:eastAsia="Lucida Sans Unicode" w:cs="Mangal"/>
      <w:sz w:val="16"/>
      <w:szCs w:val="14"/>
      <w:lang w:eastAsia="zh-CN" w:bidi="hi-IN"/>
    </w:rPr>
  </w:style>
  <w:style w:type="character" w:styleId="657">
    <w:name w:val="Строгий"/>
    <w:next w:val="657"/>
    <w:link w:val="619"/>
    <w:uiPriority w:val="22"/>
    <w:qFormat/>
    <w:rPr>
      <w:b/>
      <w:bCs/>
    </w:rPr>
  </w:style>
  <w:style w:type="numbering" w:styleId="1141" w:default="1">
    <w:name w:val="No List"/>
    <w:uiPriority w:val="99"/>
    <w:semiHidden/>
    <w:unhideWhenUsed/>
  </w:style>
  <w:style w:type="table" w:styleId="114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user</dc:creator>
  <cp:revision>11</cp:revision>
  <dcterms:created xsi:type="dcterms:W3CDTF">2012-04-23T10:25:00Z</dcterms:created>
  <dcterms:modified xsi:type="dcterms:W3CDTF">2025-09-23T05:06:53Z</dcterms:modified>
  <cp:version>1048576</cp:version>
</cp:coreProperties>
</file>