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17</w:t>
            </w:r>
            <w:r>
              <w:rPr>
                <w:rFonts w:ascii="PT Astra Serif" w:hAnsi="PT Astra Serif"/>
                <w:lang w:val="ru-RU"/>
              </w:rPr>
              <w:t xml:space="preserve">.</w:t>
            </w:r>
            <w:r>
              <w:rPr>
                <w:rFonts w:ascii="PT Astra Serif" w:hAnsi="PT Astra Serif"/>
                <w:lang w:val="en-US"/>
              </w:rPr>
              <w:t xml:space="preserve">09.2025</w:t>
            </w:r>
            <w:r/>
          </w:p>
        </w:tc>
        <w:tc>
          <w:tcPr>
            <w:gridSpan w:val="2"/>
            <w:tcW w:w="529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vAlign w:val="top"/>
            <w:textDirection w:val="lrTb"/>
            <w:noWrap w:val="false"/>
          </w:tcPr>
          <w:p>
            <w:pPr>
              <w:pStyle w:val="619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13-р</w:t>
            </w:r>
            <w:r/>
          </w:p>
        </w:tc>
        <w:tc>
          <w:tcPr>
            <w:tcW w:w="16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трихинеллезу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Том</w:t>
            </w:r>
            <w:r>
              <w:rPr>
                <w:rFonts w:ascii="PT Astra Serif" w:hAnsi="PT Astra Serif"/>
                <w:szCs w:val="28"/>
              </w:rPr>
              <w:t xml:space="preserve">ского</w:t>
            </w:r>
            <w:r>
              <w:rPr>
                <w:rFonts w:ascii="PT Astra Serif" w:hAnsi="PT Astra Serif"/>
                <w:szCs w:val="28"/>
              </w:rPr>
              <w:t xml:space="preserve"> района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  <w:br w:type="textWrapping" w:clear="all"/>
        <w:t xml:space="preserve">от 14 мая 1993 года № 4979-1 «О ветеринарии», </w:t>
      </w: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</w:rPr>
        <w:t xml:space="preserve">риказом </w:t>
      </w:r>
      <w:r>
        <w:rPr>
          <w:rFonts w:ascii="PT Astra Serif" w:hAnsi="PT Astra Serif"/>
          <w:szCs w:val="26"/>
        </w:rPr>
        <w:t xml:space="preserve">Министерства сельского хозяйства Российской Федерации </w:t>
      </w:r>
      <w:r>
        <w:rPr>
          <w:rFonts w:ascii="PT Astra Serif" w:hAnsi="PT Astra Serif"/>
          <w:szCs w:val="26"/>
        </w:rPr>
        <w:t xml:space="preserve">от 19.12.2011 № 476 «Об утверждении перечня заразных, в том числе особо опасных, болезней животных, по которым могут устанавливаться ограничител</w:t>
      </w:r>
      <w:r>
        <w:rPr>
          <w:rFonts w:ascii="PT Astra Serif" w:hAnsi="PT Astra Serif"/>
          <w:szCs w:val="26"/>
        </w:rPr>
        <w:t xml:space="preserve">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</w:t>
      </w:r>
      <w:r>
        <w:rPr>
          <w:rFonts w:ascii="PT Astra Serif" w:hAnsi="PT Astra Serif"/>
          <w:szCs w:val="26"/>
        </w:rPr>
        <w:t xml:space="preserve">в трихинеллеза, утвержденными п</w:t>
      </w:r>
      <w:r>
        <w:rPr>
          <w:rFonts w:ascii="PT Astra Serif" w:hAnsi="PT Astra Serif"/>
          <w:szCs w:val="26"/>
        </w:rPr>
        <w:t xml:space="preserve">риказом Министерства сельского хозяйства Российской Федерации от </w:t>
      </w:r>
      <w:r>
        <w:rPr>
          <w:rFonts w:ascii="PT Astra Serif" w:hAnsi="PT Astra Serif"/>
          <w:szCs w:val="26"/>
        </w:rPr>
        <w:t xml:space="preserve">26.03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0</w:t>
      </w:r>
      <w:r>
        <w:rPr>
          <w:rFonts w:ascii="PT Astra Serif" w:hAnsi="PT Astra Serif"/>
          <w:szCs w:val="26"/>
        </w:rPr>
        <w:t xml:space="preserve"> № </w:t>
      </w:r>
      <w:r>
        <w:rPr>
          <w:rFonts w:ascii="PT Astra Serif" w:hAnsi="PT Astra Serif"/>
          <w:szCs w:val="26"/>
        </w:rPr>
        <w:t xml:space="preserve">154 (далее – ветеринарные правила)</w:t>
      </w:r>
      <w:r>
        <w:rPr>
          <w:rFonts w:ascii="PT Astra Serif" w:hAnsi="PT Astra Serif"/>
          <w:szCs w:val="26"/>
        </w:rPr>
        <w:t xml:space="preserve">, Законом Томской области от 12</w:t>
      </w:r>
      <w:r>
        <w:rPr>
          <w:rFonts w:ascii="PT Astra Serif" w:hAnsi="PT Astra Serif"/>
          <w:szCs w:val="26"/>
        </w:rPr>
        <w:t xml:space="preserve"> октября 2005 года № 182-ОЗ «Об </w:t>
      </w:r>
      <w:r>
        <w:rPr>
          <w:rFonts w:ascii="PT Astra Serif" w:hAnsi="PT Astra Serif"/>
          <w:szCs w:val="26"/>
        </w:rPr>
        <w:t xml:space="preserve">обеспечении эпизоотического и ветеринарно-санитарного </w:t>
      </w:r>
      <w:r>
        <w:rPr>
          <w:rFonts w:ascii="PT Astra Serif" w:hAnsi="PT Astra Serif"/>
          <w:szCs w:val="26"/>
        </w:rPr>
        <w:t xml:space="preserve">благополучия </w:t>
      </w:r>
      <w:r>
        <w:rPr>
          <w:rFonts w:ascii="PT Astra Serif" w:hAnsi="PT Astra Serif"/>
          <w:szCs w:val="26"/>
        </w:rPr>
        <w:t xml:space="preserve">в Томской области»</w:t>
      </w:r>
      <w:r>
        <w:rPr>
          <w:rFonts w:ascii="PT Astra Serif" w:hAnsi="PT Astra Serif"/>
          <w:szCs w:val="26"/>
        </w:rPr>
        <w:t xml:space="preserve">, на основании представления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начальника </w:t>
      </w:r>
      <w:r>
        <w:rPr>
          <w:rFonts w:ascii="PT Astra Serif" w:hAnsi="PT Astra Serif"/>
          <w:szCs w:val="28"/>
        </w:rPr>
        <w:t xml:space="preserve">ОГ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Томское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</w:t>
      </w:r>
      <w:r>
        <w:rPr>
          <w:rFonts w:ascii="PT Astra Serif" w:hAnsi="PT Astra Serif"/>
          <w:szCs w:val="28"/>
        </w:rPr>
        <w:t xml:space="preserve">еринарное </w:t>
      </w:r>
      <w:r>
        <w:rPr>
          <w:rFonts w:ascii="PT Astra Serif" w:hAnsi="PT Astra Serif"/>
          <w:szCs w:val="28"/>
        </w:rPr>
        <w:t xml:space="preserve">управление» </w:t>
      </w:r>
      <w:r>
        <w:rPr>
          <w:rFonts w:ascii="PT Astra Serif" w:hAnsi="PT Astra Serif"/>
          <w:szCs w:val="28"/>
        </w:rPr>
        <w:t xml:space="preserve">от </w:t>
      </w:r>
      <w:r>
        <w:rPr>
          <w:rFonts w:ascii="PT Astra Serif" w:hAnsi="PT Astra Serif"/>
          <w:szCs w:val="28"/>
        </w:rPr>
        <w:t xml:space="preserve">17</w:t>
      </w:r>
      <w:r>
        <w:rPr>
          <w:rFonts w:ascii="PT Astra Serif" w:hAnsi="PT Astra Serif"/>
          <w:szCs w:val="28"/>
        </w:rPr>
        <w:t xml:space="preserve">.0</w:t>
      </w:r>
      <w:r>
        <w:rPr>
          <w:rFonts w:ascii="PT Astra Serif" w:hAnsi="PT Astra Serif"/>
          <w:szCs w:val="28"/>
        </w:rPr>
        <w:t xml:space="preserve">9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216</w:t>
      </w:r>
      <w:r>
        <w:rPr>
          <w:rFonts w:ascii="PT Astra Serif" w:hAnsi="PT Astra Serif"/>
          <w:szCs w:val="26"/>
        </w:rPr>
        <w:t xml:space="preserve">: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</w:t>
      </w:r>
      <w:r>
        <w:rPr>
          <w:rFonts w:ascii="PT Astra Serif" w:hAnsi="PT Astra Serif"/>
          <w:szCs w:val="26"/>
        </w:rPr>
        <w:t xml:space="preserve">сроком до </w:t>
      </w:r>
      <w:r>
        <w:rPr>
          <w:rFonts w:ascii="PT Astra Serif" w:hAnsi="PT Astra Serif"/>
          <w:szCs w:val="26"/>
        </w:rPr>
        <w:t xml:space="preserve">17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09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6</w:t>
      </w:r>
      <w:r>
        <w:rPr>
          <w:rFonts w:ascii="PT Astra Serif" w:hAnsi="PT Astra Serif"/>
          <w:szCs w:val="26"/>
        </w:rPr>
        <w:t xml:space="preserve"> года </w:t>
      </w:r>
      <w:r>
        <w:rPr>
          <w:rFonts w:ascii="PT Astra Serif" w:hAnsi="PT Astra Serif"/>
          <w:szCs w:val="26"/>
        </w:rPr>
        <w:t xml:space="preserve">ограничительные</w:t>
      </w:r>
      <w:r>
        <w:rPr>
          <w:rFonts w:ascii="PT Astra Serif" w:hAnsi="PT Astra Serif"/>
          <w:szCs w:val="26"/>
        </w:rPr>
        <w:t xml:space="preserve"> мероприятия (карантин) по </w:t>
      </w:r>
      <w:r>
        <w:rPr>
          <w:rFonts w:ascii="PT Astra Serif" w:hAnsi="PT Astra Serif"/>
          <w:szCs w:val="26"/>
        </w:rPr>
        <w:t xml:space="preserve">трихинеллезу.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границы: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очага</w:t>
      </w:r>
      <w:r>
        <w:rPr>
          <w:rFonts w:ascii="PT Astra Serif" w:hAnsi="PT Astra Serif"/>
          <w:szCs w:val="26"/>
        </w:rPr>
        <w:t xml:space="preserve">: </w:t>
      </w:r>
      <w:r>
        <w:rPr>
          <w:rFonts w:ascii="PT Astra Serif" w:hAnsi="PT Astra Serif"/>
          <w:szCs w:val="26"/>
        </w:rPr>
        <w:t xml:space="preserve">участок </w:t>
      </w:r>
      <w:r>
        <w:rPr>
          <w:rFonts w:ascii="PT Astra Serif" w:hAnsi="PT Astra Serif"/>
          <w:szCs w:val="26"/>
        </w:rPr>
        <w:t xml:space="preserve">трассы Петропавловка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-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Красный Яр с географическими координатами</w:t>
      </w:r>
      <w:r>
        <w:rPr>
          <w:rFonts w:ascii="PT Astra Serif" w:hAnsi="PT Astra Serif"/>
          <w:szCs w:val="26"/>
        </w:rPr>
        <w:t xml:space="preserve"> 5</w:t>
      </w:r>
      <w:r>
        <w:rPr>
          <w:rFonts w:ascii="PT Astra Serif" w:hAnsi="PT Astra Serif"/>
          <w:szCs w:val="26"/>
        </w:rPr>
        <w:t xml:space="preserve">6.83163</w:t>
      </w:r>
      <w:r>
        <w:rPr>
          <w:rFonts w:ascii="PT Astra Serif" w:hAnsi="PT Astra Serif"/>
          <w:szCs w:val="26"/>
        </w:rPr>
        <w:t xml:space="preserve"> с.ш., 8</w:t>
      </w:r>
      <w:r>
        <w:rPr>
          <w:rFonts w:ascii="PT Astra Serif" w:hAnsi="PT Astra Serif"/>
          <w:szCs w:val="26"/>
        </w:rPr>
        <w:t xml:space="preserve">4.83159</w:t>
      </w:r>
      <w:r>
        <w:rPr>
          <w:rFonts w:ascii="PT Astra Serif" w:hAnsi="PT Astra Serif"/>
          <w:szCs w:val="26"/>
        </w:rPr>
        <w:t xml:space="preserve"> в.д., расположенн</w:t>
      </w:r>
      <w:r>
        <w:rPr>
          <w:rFonts w:ascii="PT Astra Serif" w:hAnsi="PT Astra Serif"/>
          <w:szCs w:val="26"/>
        </w:rPr>
        <w:t xml:space="preserve">ый на территории Томского района Томской области</w:t>
      </w:r>
      <w:r>
        <w:rPr>
          <w:rFonts w:ascii="PT Astra Serif" w:hAnsi="PT Astra Serif"/>
          <w:szCs w:val="26"/>
        </w:rPr>
        <w:t xml:space="preserve">;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</w:t>
      </w:r>
      <w:r>
        <w:rPr>
          <w:rFonts w:ascii="PT Astra Serif" w:hAnsi="PT Astra Serif"/>
          <w:szCs w:val="26"/>
        </w:rPr>
        <w:t xml:space="preserve">территорию</w:t>
      </w:r>
      <w:r>
        <w:rPr>
          <w:rFonts w:ascii="PT Astra Serif" w:hAnsi="PT Astra Serif"/>
          <w:szCs w:val="26"/>
        </w:rPr>
        <w:t xml:space="preserve">, радиусом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</w:rPr>
        <w:t xml:space="preserve"> км </w:t>
      </w:r>
      <w:r>
        <w:rPr>
          <w:rFonts w:ascii="PT Astra Serif" w:hAnsi="PT Astra Serif"/>
          <w:szCs w:val="26"/>
        </w:rPr>
        <w:t xml:space="preserve">вокруг</w:t>
      </w:r>
      <w:r>
        <w:rPr>
          <w:rFonts w:ascii="PT Astra Serif" w:hAnsi="PT Astra Serif"/>
          <w:szCs w:val="26"/>
        </w:rPr>
        <w:t xml:space="preserve"> эпизоотического очага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Style w:val="625"/>
          <w:rFonts w:ascii="PT Astra Serif" w:hAnsi="PT Astra Serif"/>
          <w:szCs w:val="28"/>
        </w:rPr>
        <w:t xml:space="preserve">3</w:t>
      </w:r>
      <w:r>
        <w:rPr>
          <w:rStyle w:val="625"/>
          <w:rFonts w:ascii="PT Astra Serif" w:hAnsi="PT Astra Serif"/>
          <w:szCs w:val="28"/>
        </w:rPr>
        <w:t xml:space="preserve">. В</w:t>
      </w:r>
      <w:r>
        <w:rPr>
          <w:rFonts w:ascii="PT Astra Serif" w:hAnsi="PT Astra Serif"/>
          <w:szCs w:val="26"/>
        </w:rPr>
        <w:t xml:space="preserve"> эпизоотическом очаге </w:t>
      </w:r>
      <w:r>
        <w:rPr>
          <w:rFonts w:ascii="PT Astra Serif" w:hAnsi="PT Astra Serif"/>
          <w:szCs w:val="26"/>
        </w:rPr>
        <w:t xml:space="preserve">и неблагополучном пункте </w:t>
      </w:r>
      <w:r>
        <w:rPr>
          <w:rFonts w:ascii="PT Astra Serif" w:hAnsi="PT Astra Serif"/>
          <w:szCs w:val="26"/>
        </w:rPr>
        <w:t xml:space="preserve">на период действия ограничительных</w:t>
      </w:r>
      <w:r>
        <w:rPr>
          <w:rFonts w:ascii="PT Astra Serif" w:hAnsi="PT Astra Serif"/>
          <w:szCs w:val="26"/>
        </w:rPr>
        <w:t xml:space="preserve"> мероприятий (карантина) по </w:t>
      </w:r>
      <w:r>
        <w:rPr>
          <w:rFonts w:ascii="PT Astra Serif" w:hAnsi="PT Astra Serif"/>
          <w:szCs w:val="26"/>
        </w:rPr>
        <w:t xml:space="preserve">трихинеллезу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Fonts w:ascii="PT Astra Serif" w:hAnsi="PT Astra Serif"/>
          <w:szCs w:val="26"/>
        </w:rPr>
        <w:t xml:space="preserve">запре</w:t>
      </w:r>
      <w:r>
        <w:rPr>
          <w:rFonts w:ascii="PT Astra Serif" w:hAnsi="PT Astra Serif"/>
          <w:szCs w:val="26"/>
        </w:rPr>
        <w:t xml:space="preserve">тить</w:t>
      </w:r>
      <w:r>
        <w:rPr>
          <w:rStyle w:val="625"/>
          <w:rFonts w:ascii="PT Astra Serif" w:hAnsi="PT Astra Serif"/>
          <w:szCs w:val="28"/>
        </w:rPr>
        <w:t xml:space="preserve"> охоту на восприимчивых животных, отнесенных к охотничьим ресурсам, за исключением охоты в целях регулирования численности охотничьих ресурсов;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б) </w:t>
      </w:r>
      <w:r>
        <w:rPr>
          <w:rStyle w:val="625"/>
          <w:rFonts w:ascii="PT Astra Serif" w:hAnsi="PT Astra Serif"/>
          <w:szCs w:val="28"/>
        </w:rPr>
        <w:t xml:space="preserve"> </w:t>
      </w:r>
      <w:r>
        <w:rPr>
          <w:rStyle w:val="625"/>
          <w:rFonts w:ascii="PT Astra Serif" w:hAnsi="PT Astra Serif"/>
          <w:szCs w:val="28"/>
        </w:rPr>
        <w:t xml:space="preserve">подвергать уничтожению в соответствии </w:t>
      </w:r>
      <w:r>
        <w:rPr>
          <w:rStyle w:val="625"/>
          <w:rFonts w:ascii="PT Astra Serif" w:hAnsi="PT Astra Serif"/>
          <w:szCs w:val="28"/>
        </w:rPr>
        <w:t xml:space="preserve">с </w:t>
      </w:r>
      <w:r>
        <w:rPr>
          <w:rFonts w:ascii="PT Astra Serif" w:hAnsi="PT Astra Serif"/>
          <w:szCs w:val="28"/>
        </w:rPr>
        <w:t xml:space="preserve">Ветеринарными правилами утилизации биологических отходов</w:t>
      </w:r>
      <w:r>
        <w:rPr>
          <w:rStyle w:val="625"/>
          <w:rFonts w:ascii="PT Astra Serif" w:hAnsi="PT Astra Serif"/>
          <w:szCs w:val="28"/>
        </w:rPr>
        <w:t xml:space="preserve"> </w:t>
      </w:r>
      <w:r>
        <w:rPr>
          <w:rStyle w:val="625"/>
          <w:rFonts w:ascii="PT Astra Serif" w:hAnsi="PT Astra Serif"/>
          <w:szCs w:val="28"/>
        </w:rPr>
        <w:t xml:space="preserve">продукты убоя, полученные от восприимчивых животных, в исследуемых пробах от которых были выявлены личинки возбудителя, а также трупы восприимчивых животных</w:t>
      </w:r>
      <w:r>
        <w:rPr>
          <w:rStyle w:val="625"/>
          <w:rFonts w:ascii="PT Astra Serif" w:hAnsi="PT Astra Serif"/>
          <w:szCs w:val="28"/>
        </w:rPr>
        <w:t xml:space="preserve">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в</w:t>
      </w:r>
      <w:r>
        <w:rPr>
          <w:rStyle w:val="625"/>
          <w:rFonts w:ascii="PT Astra Serif" w:hAnsi="PT Astra Serif"/>
          <w:szCs w:val="28"/>
        </w:rPr>
        <w:t xml:space="preserve">) провести дезинфекцию места отбора проб материала.</w:t>
      </w:r>
      <w:r/>
    </w:p>
    <w:p>
      <w:pPr>
        <w:pStyle w:val="654"/>
        <w:ind w:firstLine="709"/>
        <w:rPr>
          <w:rFonts w:ascii="PT Astra Serif" w:hAnsi="PT Astra Serif"/>
        </w:rPr>
      </w:pPr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rStyle w:val="625"/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Контроль за исполнением настоящего распоряжения возложить на </w:t>
      </w:r>
      <w:r>
        <w:rPr>
          <w:rFonts w:ascii="PT Astra Serif" w:hAnsi="PT Astra Serif"/>
          <w:szCs w:val="28"/>
        </w:rPr>
        <w:t xml:space="preserve">заместителя начальника -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председателя комитета организации ветеринарной деятельности.</w:t>
      </w:r>
      <w:r>
        <w:rPr>
          <w:rFonts w:ascii="PT Astra Serif" w:hAnsi="PT Astra Serif"/>
        </w:rPr>
      </w:r>
      <w:r/>
    </w:p>
    <w:p>
      <w:pPr>
        <w:pStyle w:val="619"/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42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7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департамента</w:t>
      </w:r>
      <w:r>
        <w:rPr>
          <w:rFonts w:ascii="PT Astra Serif" w:hAnsi="PT Astra Serif"/>
          <w:szCs w:val="28"/>
        </w:rPr>
        <w:t xml:space="preserve">                    </w:t>
      </w:r>
      <w:r>
        <w:rPr>
          <w:rFonts w:ascii="PT Astra Serif" w:hAnsi="PT Astra Serif"/>
          <w:szCs w:val="28"/>
        </w:rPr>
        <w:t xml:space="preserve"> 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В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Табакаев</w:t>
      </w:r>
      <w:r>
        <w:rPr>
          <w:rFonts w:ascii="PT Astra Serif" w:hAnsi="PT Astra Serif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2">
      <w:start w:val="1"/>
      <w:numFmt w:val="decimal"/>
      <w:pStyle w:val="620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4">
      <w:start w:val="1"/>
      <w:numFmt w:val="decimal"/>
      <w:pStyle w:val="621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9"/>
    <w:next w:val="61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2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9"/>
    <w:next w:val="61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2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9"/>
    <w:next w:val="61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28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9"/>
    <w:next w:val="61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2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9"/>
    <w:next w:val="61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2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9"/>
    <w:next w:val="61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2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9"/>
    <w:next w:val="61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9"/>
    <w:next w:val="61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9"/>
    <w:next w:val="61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9"/>
    <w:next w:val="61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28"/>
    <w:link w:val="33"/>
    <w:uiPriority w:val="10"/>
    <w:rPr>
      <w:sz w:val="48"/>
      <w:szCs w:val="48"/>
    </w:rPr>
  </w:style>
  <w:style w:type="paragraph" w:styleId="35">
    <w:name w:val="Subtitle"/>
    <w:basedOn w:val="619"/>
    <w:next w:val="61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28"/>
    <w:link w:val="35"/>
    <w:uiPriority w:val="11"/>
    <w:rPr>
      <w:sz w:val="24"/>
      <w:szCs w:val="24"/>
    </w:rPr>
  </w:style>
  <w:style w:type="paragraph" w:styleId="37">
    <w:name w:val="Quote"/>
    <w:basedOn w:val="619"/>
    <w:next w:val="61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9"/>
    <w:next w:val="61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8"/>
    <w:link w:val="41"/>
    <w:uiPriority w:val="99"/>
  </w:style>
  <w:style w:type="paragraph" w:styleId="43">
    <w:name w:val="Footer"/>
    <w:basedOn w:val="61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8"/>
    <w:link w:val="43"/>
    <w:uiPriority w:val="99"/>
  </w:style>
  <w:style w:type="paragraph" w:styleId="45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8"/>
    <w:uiPriority w:val="99"/>
    <w:unhideWhenUsed/>
    <w:rPr>
      <w:vertAlign w:val="superscript"/>
    </w:rPr>
  </w:style>
  <w:style w:type="paragraph" w:styleId="177">
    <w:name w:val="endnote text"/>
    <w:basedOn w:val="61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8"/>
    <w:uiPriority w:val="99"/>
    <w:semiHidden/>
    <w:unhideWhenUsed/>
    <w:rPr>
      <w:vertAlign w:val="superscript"/>
    </w:rPr>
  </w:style>
  <w:style w:type="paragraph" w:styleId="180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next w:val="619"/>
    <w:link w:val="619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val="ru-RU" w:eastAsia="zh-CN" w:bidi="hi-IN"/>
    </w:rPr>
  </w:style>
  <w:style w:type="paragraph" w:styleId="620">
    <w:name w:val="Заголовок 3"/>
    <w:basedOn w:val="619"/>
    <w:next w:val="619"/>
    <w:link w:val="619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1">
    <w:name w:val="Заголовок 5"/>
    <w:basedOn w:val="619"/>
    <w:next w:val="619"/>
    <w:link w:val="619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2">
    <w:name w:val="Основной шрифт абзаца"/>
    <w:next w:val="622"/>
    <w:link w:val="619"/>
    <w:uiPriority w:val="1"/>
    <w:semiHidden/>
    <w:unhideWhenUsed/>
  </w:style>
  <w:style w:type="table" w:styleId="623">
    <w:name w:val="Обычная таблица"/>
    <w:next w:val="623"/>
    <w:link w:val="619"/>
    <w:uiPriority w:val="99"/>
    <w:semiHidden/>
    <w:unhideWhenUsed/>
    <w:tblPr/>
  </w:style>
  <w:style w:type="numbering" w:styleId="624">
    <w:name w:val="Нет списка"/>
    <w:next w:val="624"/>
    <w:link w:val="619"/>
    <w:uiPriority w:val="99"/>
    <w:semiHidden/>
    <w:unhideWhenUsed/>
  </w:style>
  <w:style w:type="character" w:styleId="625">
    <w:name w:val="Основной шрифт абзаца1"/>
    <w:next w:val="625"/>
    <w:link w:val="619"/>
  </w:style>
  <w:style w:type="character" w:styleId="626">
    <w:name w:val="Маркеры списка"/>
    <w:next w:val="626"/>
    <w:link w:val="619"/>
    <w:rPr>
      <w:rFonts w:ascii="OpenSymbol" w:hAnsi="OpenSymbol" w:eastAsia="OpenSymbol" w:cs="OpenSymbol"/>
    </w:rPr>
  </w:style>
  <w:style w:type="character" w:styleId="627">
    <w:name w:val="Zeichenformat"/>
    <w:next w:val="627"/>
    <w:link w:val="619"/>
  </w:style>
  <w:style w:type="character" w:styleId="628" w:default="1">
    <w:name w:val="Default Paragraph Font"/>
    <w:next w:val="628"/>
    <w:link w:val="619"/>
  </w:style>
  <w:style w:type="paragraph" w:styleId="629">
    <w:name w:val="Заголовок"/>
    <w:basedOn w:val="619"/>
    <w:next w:val="630"/>
    <w:link w:val="619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30">
    <w:name w:val="Основной текст"/>
    <w:basedOn w:val="619"/>
    <w:next w:val="630"/>
    <w:link w:val="619"/>
    <w:rPr>
      <w:sz w:val="21"/>
    </w:rPr>
  </w:style>
  <w:style w:type="paragraph" w:styleId="631">
    <w:name w:val="Обычный1"/>
    <w:next w:val="631"/>
    <w:link w:val="6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32">
    <w:name w:val="Название объекта"/>
    <w:basedOn w:val="619"/>
    <w:next w:val="630"/>
    <w:link w:val="619"/>
    <w:qFormat/>
    <w:pPr>
      <w:keepNext/>
      <w:spacing w:before="240" w:after="120"/>
    </w:pPr>
    <w:rPr>
      <w:rFonts w:ascii="Arial" w:hAnsi="Arial"/>
      <w:szCs w:val="28"/>
    </w:rPr>
  </w:style>
  <w:style w:type="paragraph" w:styleId="633">
    <w:name w:val="Подзаголовок"/>
    <w:basedOn w:val="632"/>
    <w:next w:val="630"/>
    <w:link w:val="619"/>
    <w:qFormat/>
    <w:pPr>
      <w:jc w:val="center"/>
    </w:pPr>
    <w:rPr>
      <w:i/>
      <w:iCs/>
    </w:rPr>
  </w:style>
  <w:style w:type="paragraph" w:styleId="634">
    <w:name w:val="Список"/>
    <w:basedOn w:val="630"/>
    <w:next w:val="634"/>
    <w:link w:val="619"/>
    <w:rPr>
      <w:rFonts w:ascii="Arial" w:hAnsi="Arial"/>
      <w:sz w:val="24"/>
    </w:rPr>
  </w:style>
  <w:style w:type="paragraph" w:styleId="635">
    <w:name w:val="Название объекта1"/>
    <w:basedOn w:val="619"/>
    <w:next w:val="635"/>
    <w:link w:val="619"/>
    <w:pPr>
      <w:spacing w:before="0" w:after="119"/>
      <w:suppressLineNumbers/>
    </w:pPr>
    <w:rPr>
      <w:i/>
      <w:iCs/>
    </w:rPr>
  </w:style>
  <w:style w:type="paragraph" w:styleId="636">
    <w:name w:val="Указатель1"/>
    <w:basedOn w:val="619"/>
    <w:next w:val="636"/>
    <w:link w:val="619"/>
    <w:pPr>
      <w:suppressLineNumbers/>
    </w:pPr>
    <w:rPr>
      <w:rFonts w:ascii="Arial" w:hAnsi="Arial"/>
      <w:sz w:val="24"/>
    </w:rPr>
  </w:style>
  <w:style w:type="paragraph" w:styleId="637">
    <w:name w:val="Верхний колонтитул"/>
    <w:basedOn w:val="619"/>
    <w:next w:val="637"/>
    <w:link w:val="61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38">
    <w:name w:val="Верхний колонтитул справа"/>
    <w:basedOn w:val="619"/>
    <w:next w:val="638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39">
    <w:name w:val="Верхний колонтитул слева"/>
    <w:basedOn w:val="619"/>
    <w:next w:val="639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40">
    <w:name w:val="Горизонтальная линия"/>
    <w:basedOn w:val="619"/>
    <w:next w:val="630"/>
    <w:link w:val="619"/>
    <w:pPr>
      <w:spacing w:before="0" w:after="283"/>
      <w:suppressLineNumbers/>
    </w:pPr>
    <w:rPr>
      <w:sz w:val="12"/>
      <w:szCs w:val="12"/>
    </w:rPr>
  </w:style>
  <w:style w:type="paragraph" w:styleId="641">
    <w:name w:val="Основной текст с отступом"/>
    <w:basedOn w:val="630"/>
    <w:next w:val="641"/>
    <w:link w:val="619"/>
    <w:pPr>
      <w:ind w:left="283" w:right="0" w:firstLine="0"/>
    </w:pPr>
  </w:style>
  <w:style w:type="paragraph" w:styleId="642">
    <w:name w:val="Красная строка"/>
    <w:basedOn w:val="630"/>
    <w:next w:val="642"/>
    <w:link w:val="619"/>
    <w:pPr>
      <w:ind w:left="0" w:right="0" w:firstLine="709"/>
    </w:pPr>
  </w:style>
  <w:style w:type="paragraph" w:styleId="643">
    <w:name w:val="Таблица"/>
    <w:basedOn w:val="635"/>
    <w:next w:val="643"/>
    <w:link w:val="619"/>
  </w:style>
  <w:style w:type="paragraph" w:styleId="644">
    <w:name w:val="Текст1"/>
    <w:basedOn w:val="635"/>
    <w:next w:val="644"/>
    <w:link w:val="619"/>
  </w:style>
  <w:style w:type="paragraph" w:styleId="645">
    <w:name w:val="Содержимое таблицы"/>
    <w:basedOn w:val="619"/>
    <w:next w:val="645"/>
    <w:link w:val="619"/>
    <w:pPr>
      <w:suppressLineNumbers/>
    </w:pPr>
  </w:style>
  <w:style w:type="paragraph" w:styleId="646">
    <w:name w:val="Текст шапки"/>
    <w:basedOn w:val="630"/>
    <w:next w:val="646"/>
    <w:link w:val="619"/>
    <w:pPr>
      <w:jc w:val="center"/>
    </w:pPr>
    <w:rPr>
      <w:b/>
      <w:bCs/>
      <w:sz w:val="30"/>
      <w:szCs w:val="30"/>
    </w:rPr>
  </w:style>
  <w:style w:type="paragraph" w:styleId="647">
    <w:name w:val="Подпись_дол+ФИО"/>
    <w:basedOn w:val="630"/>
    <w:next w:val="642"/>
    <w:link w:val="619"/>
    <w:pPr>
      <w:jc w:val="left"/>
      <w:tabs>
        <w:tab w:val="right" w:pos="10035" w:leader="none"/>
      </w:tabs>
    </w:pPr>
    <w:rPr>
      <w:sz w:val="28"/>
    </w:rPr>
  </w:style>
  <w:style w:type="paragraph" w:styleId="648">
    <w:name w:val="Содержимое врезки"/>
    <w:basedOn w:val="630"/>
    <w:next w:val="648"/>
    <w:link w:val="619"/>
  </w:style>
  <w:style w:type="paragraph" w:styleId="649">
    <w:name w:val="Подпись"/>
    <w:basedOn w:val="630"/>
    <w:next w:val="649"/>
    <w:link w:val="619"/>
    <w:pPr>
      <w:suppressLineNumbers/>
    </w:pPr>
  </w:style>
  <w:style w:type="paragraph" w:styleId="650">
    <w:name w:val="ПодписьСогл_дол+ФИО"/>
    <w:basedOn w:val="647"/>
    <w:next w:val="650"/>
    <w:link w:val="619"/>
    <w:rPr>
      <w:sz w:val="24"/>
    </w:rPr>
  </w:style>
  <w:style w:type="paragraph" w:styleId="651">
    <w:name w:val="Текст в заданном формате"/>
    <w:basedOn w:val="619"/>
    <w:next w:val="651"/>
    <w:link w:val="619"/>
    <w:rPr>
      <w:rFonts w:ascii="Courier New" w:hAnsi="Courier New" w:eastAsia="Courier New" w:cs="Courier New"/>
      <w:sz w:val="20"/>
      <w:szCs w:val="20"/>
    </w:rPr>
  </w:style>
  <w:style w:type="paragraph" w:styleId="652">
    <w:name w:val="DocumentMap"/>
    <w:next w:val="652"/>
    <w:link w:val="6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val="ru-RU" w:eastAsia="ru-RU" w:bidi="ar-SA"/>
    </w:rPr>
  </w:style>
  <w:style w:type="paragraph" w:styleId="653">
    <w:name w:val="Основной текст с отступом1"/>
    <w:basedOn w:val="619"/>
    <w:next w:val="653"/>
    <w:link w:val="619"/>
    <w:qFormat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54">
    <w:name w:val="Standard"/>
    <w:next w:val="654"/>
    <w:link w:val="619"/>
    <w:qFormat/>
    <w:pPr>
      <w:jc w:val="both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55">
    <w:name w:val="Текст выноски"/>
    <w:basedOn w:val="619"/>
    <w:next w:val="655"/>
    <w:link w:val="656"/>
    <w:uiPriority w:val="99"/>
    <w:semiHidden/>
    <w:unhideWhenUsed/>
    <w:rPr>
      <w:rFonts w:ascii="Tahoma" w:hAnsi="Tahoma"/>
      <w:sz w:val="16"/>
      <w:szCs w:val="14"/>
    </w:rPr>
  </w:style>
  <w:style w:type="character" w:styleId="656">
    <w:name w:val="Текст выноски Знак"/>
    <w:next w:val="656"/>
    <w:link w:val="655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numbering" w:styleId="1229" w:default="1">
    <w:name w:val="No List"/>
    <w:uiPriority w:val="99"/>
    <w:semiHidden/>
    <w:unhideWhenUsed/>
  </w:style>
  <w:style w:type="table" w:styleId="12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Распоряжение Установление карантина Березовка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6</cp:revision>
  <dcterms:created xsi:type="dcterms:W3CDTF">2025-04-29T07:08:00Z</dcterms:created>
  <dcterms:modified xsi:type="dcterms:W3CDTF">2025-09-23T05:01:05Z</dcterms:modified>
  <cp:version>917504</cp:version>
</cp:coreProperties>
</file>