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1057" w:hanging="992"/>
        <w:spacing w:after="0" w:line="240" w:lineRule="auto"/>
        <w:tabs>
          <w:tab w:val="left" w:pos="11340" w:leader="none"/>
          <w:tab w:val="left" w:pos="13183" w:leader="none"/>
          <w:tab w:val="left" w:pos="1332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УТВЕРЖДЕН</w:t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И.о</w:t>
      </w:r>
      <w:r>
        <w:rPr>
          <w:rFonts w:ascii="PT Astra Serif" w:hAnsi="PT Astra Serif"/>
          <w:sz w:val="24"/>
          <w:szCs w:val="24"/>
        </w:rPr>
        <w:t xml:space="preserve">. н</w:t>
      </w:r>
      <w:r>
        <w:rPr>
          <w:rFonts w:ascii="PT Astra Serif" w:hAnsi="PT Astra Serif"/>
          <w:sz w:val="24"/>
          <w:szCs w:val="24"/>
        </w:rPr>
        <w:t xml:space="preserve">ачальник</w:t>
      </w:r>
      <w:r>
        <w:rPr>
          <w:rFonts w:ascii="PT Astra Serif" w:hAnsi="PT Astra Serif"/>
          <w:sz w:val="24"/>
          <w:szCs w:val="24"/>
        </w:rPr>
        <w:t xml:space="preserve">а</w:t>
      </w:r>
      <w:r>
        <w:rPr>
          <w:rFonts w:ascii="PT Astra Serif" w:hAnsi="PT Astra Serif"/>
          <w:sz w:val="24"/>
          <w:szCs w:val="24"/>
        </w:rPr>
        <w:t xml:space="preserve"> Департамента ветеринарии</w:t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Томской области</w:t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_________________</w:t>
      </w:r>
      <w:r>
        <w:rPr>
          <w:rFonts w:ascii="PT Astra Serif" w:hAnsi="PT Astra Serif"/>
          <w:sz w:val="24"/>
          <w:szCs w:val="24"/>
        </w:rPr>
        <w:t xml:space="preserve">Е</w:t>
      </w:r>
      <w:r>
        <w:rPr>
          <w:rFonts w:ascii="PT Astra Serif" w:hAnsi="PT Astra Serif"/>
          <w:sz w:val="24"/>
          <w:szCs w:val="24"/>
        </w:rPr>
        <w:t xml:space="preserve">.В. </w:t>
      </w:r>
      <w:r>
        <w:rPr>
          <w:rFonts w:ascii="PT Astra Serif" w:hAnsi="PT Astra Serif"/>
          <w:sz w:val="24"/>
          <w:szCs w:val="24"/>
        </w:rPr>
        <w:t xml:space="preserve">Гынгазова</w:t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18.04.</w:t>
      </w:r>
      <w:r>
        <w:rPr>
          <w:rFonts w:ascii="PT Astra Serif" w:hAnsi="PT Astra Serif"/>
          <w:sz w:val="24"/>
          <w:szCs w:val="24"/>
        </w:rPr>
        <w:t xml:space="preserve">202</w:t>
      </w:r>
      <w:r>
        <w:rPr>
          <w:rFonts w:ascii="PT Astra Serif" w:hAnsi="PT Astra Serif"/>
          <w:sz w:val="24"/>
          <w:szCs w:val="24"/>
        </w:rPr>
        <w:t xml:space="preserve">5</w:t>
      </w:r>
      <w:r>
        <w:rPr>
          <w:rFonts w:ascii="PT Astra Serif" w:hAnsi="PT Astra Serif"/>
          <w:sz w:val="24"/>
          <w:szCs w:val="24"/>
        </w:rPr>
        <w:t xml:space="preserve"> года</w:t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План проверок на </w:t>
      </w:r>
      <w:r>
        <w:rPr>
          <w:rFonts w:ascii="PT Astra Serif" w:hAnsi="PT Astra Serif"/>
          <w:b/>
          <w:sz w:val="24"/>
          <w:szCs w:val="24"/>
        </w:rPr>
        <w:t xml:space="preserve">2</w:t>
      </w:r>
      <w:r>
        <w:rPr>
          <w:rFonts w:ascii="PT Astra Serif" w:hAnsi="PT Astra Serif"/>
          <w:b/>
          <w:sz w:val="24"/>
          <w:szCs w:val="24"/>
        </w:rPr>
        <w:t xml:space="preserve"> полугодие 202</w:t>
      </w:r>
      <w:r>
        <w:rPr>
          <w:rFonts w:ascii="PT Astra Serif" w:hAnsi="PT Astra Serif"/>
          <w:b/>
          <w:sz w:val="24"/>
          <w:szCs w:val="24"/>
        </w:rPr>
        <w:t xml:space="preserve">5</w:t>
      </w:r>
      <w:r>
        <w:rPr>
          <w:rFonts w:ascii="PT Astra Serif" w:hAnsi="PT Astra Serif"/>
          <w:b/>
          <w:sz w:val="24"/>
          <w:szCs w:val="24"/>
        </w:rPr>
        <w:t xml:space="preserve"> года</w:t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в</w:t>
      </w:r>
      <w:r>
        <w:rPr>
          <w:rFonts w:ascii="PT Astra Serif" w:hAnsi="PT Astra Serif"/>
          <w:b/>
          <w:sz w:val="24"/>
          <w:szCs w:val="24"/>
        </w:rPr>
        <w:t xml:space="preserve"> рамках</w:t>
      </w:r>
      <w:r>
        <w:rPr>
          <w:rFonts w:ascii="PT Astra Serif" w:hAnsi="PT Astra Serif"/>
          <w:b/>
          <w:sz w:val="24"/>
          <w:szCs w:val="24"/>
        </w:rPr>
        <w:t xml:space="preserve"> осуществления</w:t>
      </w:r>
      <w:r>
        <w:rPr>
          <w:rFonts w:ascii="PT Astra Serif" w:hAnsi="PT Astra Serif"/>
          <w:b/>
          <w:sz w:val="24"/>
          <w:szCs w:val="24"/>
        </w:rPr>
        <w:t xml:space="preserve"> Департамент</w:t>
      </w:r>
      <w:r>
        <w:rPr>
          <w:rFonts w:ascii="PT Astra Serif" w:hAnsi="PT Astra Serif"/>
          <w:b/>
          <w:sz w:val="24"/>
          <w:szCs w:val="24"/>
        </w:rPr>
        <w:t xml:space="preserve">ом</w:t>
      </w:r>
      <w:r>
        <w:rPr>
          <w:rFonts w:ascii="PT Astra Serif" w:hAnsi="PT Astra Serif"/>
          <w:b/>
          <w:sz w:val="24"/>
          <w:szCs w:val="24"/>
        </w:rPr>
        <w:t xml:space="preserve"> ветеринарии Томской области ведомственного контроля за соблюдением требований </w:t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Федерального закона от 18.07.2011 № 223-ФЗ «О закупках товаров, работ, услуг отдельными видами юридических лиц» и иных принятых в соответствии с ним нормативн</w:t>
      </w:r>
      <w:r>
        <w:rPr>
          <w:rFonts w:ascii="PT Astra Serif" w:hAnsi="PT Astra Serif"/>
          <w:b/>
          <w:sz w:val="24"/>
          <w:szCs w:val="24"/>
        </w:rPr>
        <w:t xml:space="preserve">ых</w:t>
      </w:r>
      <w:r>
        <w:rPr>
          <w:rFonts w:ascii="PT Astra Serif" w:hAnsi="PT Astra Serif"/>
          <w:b/>
          <w:sz w:val="24"/>
          <w:szCs w:val="24"/>
        </w:rPr>
        <w:t xml:space="preserve"> правовых актов Российской Федерации в отношении подведомственных ему </w:t>
      </w:r>
      <w:r>
        <w:rPr>
          <w:rFonts w:ascii="PT Astra Serif" w:hAnsi="PT Astra Serif"/>
          <w:b/>
          <w:sz w:val="24"/>
          <w:szCs w:val="24"/>
        </w:rPr>
        <w:t xml:space="preserve">заказчиков</w:t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Орган ведомственного контроля – Департамент ветеринарии Томской области</w:t>
      </w:r>
      <w:r/>
    </w:p>
    <w:p>
      <w:pPr>
        <w:jc w:val="center"/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Style w:val="602"/>
        <w:tblW w:w="0" w:type="auto"/>
        <w:tblLook w:val="04A0" w:firstRow="1" w:lastRow="0" w:firstColumn="1" w:lastColumn="0" w:noHBand="0" w:noVBand="1"/>
      </w:tblPr>
      <w:tblGrid>
        <w:gridCol w:w="541"/>
        <w:gridCol w:w="5837"/>
        <w:gridCol w:w="2688"/>
        <w:gridCol w:w="3043"/>
        <w:gridCol w:w="3018"/>
      </w:tblGrid>
      <w:tr>
        <w:trPr>
          <w:trHeight w:val="503"/>
        </w:trPr>
        <w:tc>
          <w:tcPr>
            <w:tcW w:w="5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</w:t>
            </w:r>
            <w:r/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п/п</w:t>
            </w:r>
            <w:r/>
          </w:p>
        </w:tc>
        <w:tc>
          <w:tcPr>
            <w:tcW w:w="58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Реквизиты подведомственных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заказчиков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в отношении которых принято решение о проведении проверки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(наименование, ИНН, адрес)</w:t>
            </w:r>
            <w:r/>
          </w:p>
        </w:tc>
        <w:tc>
          <w:tcPr>
            <w:tcW w:w="2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Проверяемый период</w:t>
            </w:r>
            <w:r/>
          </w:p>
        </w:tc>
        <w:tc>
          <w:tcPr>
            <w:tcW w:w="30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Предмет проверки</w:t>
            </w:r>
            <w:r/>
          </w:p>
        </w:tc>
        <w:tc>
          <w:tcPr>
            <w:tcW w:w="3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Месяц начала проведения проверки</w:t>
            </w:r>
            <w:r/>
          </w:p>
        </w:tc>
      </w:tr>
      <w:tr>
        <w:trPr>
          <w:trHeight w:val="1575"/>
        </w:trPr>
        <w:tc>
          <w:tcPr>
            <w:tcW w:w="5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1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.</w:t>
            </w:r>
            <w:r/>
          </w:p>
        </w:tc>
        <w:tc>
          <w:tcPr>
            <w:tcW w:w="5837" w:type="dxa"/>
            <w:vAlign w:val="center"/>
            <w:textDirection w:val="lrTb"/>
            <w:noWrap w:val="false"/>
          </w:tcPr>
          <w:p>
            <w:pPr>
              <w:spacing w:line="300" w:lineRule="atLeast"/>
              <w:shd w:val="clear" w:color="auto" w:fill="ffffff"/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автономное учреждение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Первомайское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районное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ветеринарное управление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»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ИНН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7012004549</w:t>
            </w:r>
            <w:r>
              <w:rPr>
                <w:rFonts w:ascii="PT Astra Serif" w:hAnsi="PT Astra Serif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636930, Томская обл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., Первомайский район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с.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Первомайское,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ул. Новая, 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</w:t>
            </w:r>
            <w:r/>
          </w:p>
        </w:tc>
        <w:tc>
          <w:tcPr>
            <w:tcW w:w="2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01.01.20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/>
          </w:p>
        </w:tc>
        <w:tc>
          <w:tcPr>
            <w:tcW w:w="30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Соблюдение требований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  <w:r/>
          </w:p>
        </w:tc>
        <w:tc>
          <w:tcPr>
            <w:tcW w:w="3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Июль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/>
          </w:p>
        </w:tc>
      </w:tr>
      <w:tr>
        <w:trPr>
          <w:trHeight w:val="1575"/>
        </w:trPr>
        <w:tc>
          <w:tcPr>
            <w:tcW w:w="5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2.</w:t>
            </w:r>
            <w:r/>
          </w:p>
        </w:tc>
        <w:tc>
          <w:tcPr>
            <w:tcW w:w="583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автономное учреждение «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Кожевниковское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районное ветеринарное управление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» (ИНН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7008006374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;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636160, Томская обл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Кожевниковский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с.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Кожевниково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пер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Герцена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</w:t>
            </w:r>
            <w:r/>
          </w:p>
        </w:tc>
        <w:tc>
          <w:tcPr>
            <w:tcW w:w="2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01.01.20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/>
          </w:p>
        </w:tc>
        <w:tc>
          <w:tcPr>
            <w:tcW w:w="30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Соблюдение требований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  <w:r/>
          </w:p>
        </w:tc>
        <w:tc>
          <w:tcPr>
            <w:tcW w:w="3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Сентябрь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года</w:t>
            </w:r>
            <w:r/>
          </w:p>
        </w:tc>
      </w:tr>
      <w:tr>
        <w:trPr>
          <w:trHeight w:val="1575"/>
        </w:trPr>
        <w:tc>
          <w:tcPr>
            <w:tcW w:w="5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3.</w:t>
            </w:r>
            <w:r/>
          </w:p>
        </w:tc>
        <w:tc>
          <w:tcPr>
            <w:tcW w:w="583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автономное учреждение «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Бакчарское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районное ветеринарное управление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» (ИНН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7003003274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;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636200, Томская обл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Бакчарский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р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айон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с.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Бакчар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пер.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Трактовый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</w:t>
            </w:r>
            <w:r/>
          </w:p>
        </w:tc>
        <w:tc>
          <w:tcPr>
            <w:tcW w:w="2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01.01.20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/>
          </w:p>
        </w:tc>
        <w:tc>
          <w:tcPr>
            <w:tcW w:w="30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Соблюдение требований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  <w:r/>
          </w:p>
        </w:tc>
        <w:tc>
          <w:tcPr>
            <w:tcW w:w="3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Ноябрь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года</w:t>
            </w:r>
            <w:r/>
          </w:p>
        </w:tc>
      </w:tr>
    </w:tbl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/>
      <w:bookmarkStart w:id="0" w:name="_GoBack"/>
      <w:r/>
      <w:bookmarkEnd w:id="0"/>
      <w:r/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04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4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Анна Владимировна</w:t>
      </w:r>
      <w:r>
        <w:rPr>
          <w:rFonts w:ascii="PT Astra Serif" w:hAnsi="PT Astra Serif"/>
          <w:sz w:val="16"/>
          <w:szCs w:val="16"/>
        </w:rPr>
        <w:t xml:space="preserve"> Кривенко</w:t>
      </w:r>
      <w:r/>
    </w:p>
    <w:p>
      <w:pPr>
        <w:pStyle w:val="604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(3822) 900-272 д</w:t>
      </w:r>
      <w:r>
        <w:rPr>
          <w:rFonts w:ascii="PT Astra Serif" w:hAnsi="PT Astra Serif"/>
          <w:sz w:val="16"/>
          <w:szCs w:val="16"/>
        </w:rPr>
        <w:t xml:space="preserve">об</w:t>
      </w:r>
      <w:r>
        <w:rPr>
          <w:rFonts w:ascii="PT Astra Serif" w:hAnsi="PT Astra Serif"/>
          <w:sz w:val="16"/>
          <w:szCs w:val="16"/>
        </w:rPr>
        <w:t xml:space="preserve">. 5</w:t>
      </w:r>
      <w:r>
        <w:rPr>
          <w:rFonts w:ascii="PT Astra Serif" w:hAnsi="PT Astra Serif"/>
          <w:sz w:val="16"/>
          <w:szCs w:val="16"/>
        </w:rPr>
        <w:t xml:space="preserve">6</w:t>
      </w:r>
      <w:r/>
    </w:p>
    <w:p>
      <w:pPr>
        <w:pStyle w:val="604"/>
        <w:rPr>
          <w:sz w:val="16"/>
          <w:szCs w:val="16"/>
        </w:rPr>
      </w:pPr>
      <w:r/>
      <w:hyperlink r:id="rId9" w:tooltip="mailto:cav@gsvt.tomsk.ru" w:history="1">
        <w:r>
          <w:rPr>
            <w:rStyle w:val="603"/>
            <w:rFonts w:ascii="PT Astra Serif" w:hAnsi="PT Astra Serif"/>
            <w:sz w:val="16"/>
            <w:szCs w:val="16"/>
            <w:lang w:val="en-US"/>
          </w:rPr>
          <w:t xml:space="preserve">cav</w:t>
        </w:r>
        <w:r>
          <w:rPr>
            <w:rStyle w:val="603"/>
            <w:rFonts w:ascii="PT Astra Serif" w:hAnsi="PT Astra Serif"/>
            <w:sz w:val="16"/>
            <w:szCs w:val="16"/>
          </w:rPr>
          <w:t xml:space="preserve">@</w:t>
        </w:r>
        <w:r>
          <w:rPr>
            <w:rStyle w:val="603"/>
            <w:rFonts w:ascii="PT Astra Serif" w:hAnsi="PT Astra Serif"/>
            <w:sz w:val="16"/>
            <w:szCs w:val="16"/>
            <w:lang w:val="en-US"/>
          </w:rPr>
          <w:t xml:space="preserve">gsvt</w:t>
        </w:r>
        <w:r>
          <w:rPr>
            <w:rStyle w:val="603"/>
            <w:rFonts w:ascii="PT Astra Serif" w:hAnsi="PT Astra Serif"/>
            <w:sz w:val="16"/>
            <w:szCs w:val="16"/>
          </w:rPr>
          <w:t xml:space="preserve">.</w:t>
        </w:r>
        <w:r>
          <w:rPr>
            <w:rStyle w:val="603"/>
            <w:rFonts w:ascii="PT Astra Serif" w:hAnsi="PT Astra Serif"/>
            <w:sz w:val="16"/>
            <w:szCs w:val="16"/>
            <w:lang w:val="en-US"/>
          </w:rPr>
          <w:t xml:space="preserve">tomsk</w:t>
        </w:r>
        <w:r>
          <w:rPr>
            <w:rStyle w:val="603"/>
            <w:rFonts w:ascii="PT Astra Serif" w:hAnsi="PT Astra Serif"/>
            <w:sz w:val="16"/>
            <w:szCs w:val="16"/>
          </w:rPr>
          <w:t xml:space="preserve">.</w:t>
        </w:r>
        <w:r>
          <w:rPr>
            <w:rStyle w:val="603"/>
            <w:rFonts w:ascii="PT Astra Serif" w:hAnsi="PT Astra Serif"/>
            <w:sz w:val="16"/>
            <w:szCs w:val="16"/>
            <w:lang w:val="en-US"/>
          </w:rPr>
          <w:t xml:space="preserve">ru</w:t>
        </w:r>
      </w:hyperlink>
      <w:r/>
      <w:r/>
    </w:p>
    <w:sectPr>
      <w:footnotePr/>
      <w:endnotePr/>
      <w:type w:val="nextPage"/>
      <w:pgSz w:w="16838" w:h="11906" w:orient="landscape"/>
      <w:pgMar w:top="1134" w:right="567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Lucida Sans Unicode">
    <w:panose1 w:val="020B0602030504020204"/>
  </w:font>
  <w:font w:name="Times New Roman">
    <w:panose1 w:val="020206030504050203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character" w:styleId="599" w:default="1">
    <w:name w:val="Default Paragraph Font"/>
    <w:uiPriority w:val="1"/>
    <w:semiHidden/>
    <w:unhideWhenUsed/>
  </w:style>
  <w:style w:type="table" w:styleId="6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  <w:style w:type="table" w:styleId="602">
    <w:name w:val="Table Grid"/>
    <w:basedOn w:val="60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03">
    <w:name w:val="Hyperlink"/>
    <w:basedOn w:val="599"/>
    <w:uiPriority w:val="99"/>
    <w:unhideWhenUsed/>
    <w:rPr>
      <w:color w:val="0000ff"/>
      <w:u w:val="single"/>
    </w:rPr>
  </w:style>
  <w:style w:type="paragraph" w:styleId="604" w:customStyle="1">
    <w:name w:val="исполнитель"/>
    <w:basedOn w:val="605"/>
    <w:qFormat/>
    <w:pPr>
      <w:spacing w:after="0" w:line="240" w:lineRule="auto"/>
    </w:pPr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paragraph" w:styleId="605">
    <w:name w:val="Body Text"/>
    <w:basedOn w:val="598"/>
    <w:link w:val="606"/>
    <w:uiPriority w:val="99"/>
    <w:semiHidden/>
    <w:unhideWhenUsed/>
    <w:pPr>
      <w:spacing w:after="120"/>
    </w:pPr>
  </w:style>
  <w:style w:type="character" w:styleId="606" w:customStyle="1">
    <w:name w:val="Основной текст Знак"/>
    <w:basedOn w:val="599"/>
    <w:link w:val="605"/>
    <w:uiPriority w:val="99"/>
    <w:semiHidden/>
  </w:style>
  <w:style w:type="paragraph" w:styleId="607" w:customStyle="1">
    <w:name w:val="Standard"/>
    <w:pPr>
      <w:jc w:val="both"/>
      <w:spacing w:after="0" w:line="240" w:lineRule="auto"/>
      <w:widowControl w:val="off"/>
    </w:pPr>
    <w:rPr>
      <w:rFonts w:ascii="Times New Roman" w:hAnsi="Times New Roman" w:eastAsia="Lucida Sans Unicode" w:cs="Mangal"/>
      <w:sz w:val="28"/>
      <w:szCs w:val="24"/>
      <w:lang w:eastAsia="zh-CN" w:bidi="hi-IN"/>
    </w:rPr>
  </w:style>
  <w:style w:type="paragraph" w:styleId="608" w:customStyle="1">
    <w:name w:val="Text body"/>
    <w:basedOn w:val="607"/>
    <w:rPr>
      <w:sz w:val="21"/>
    </w:rPr>
  </w:style>
  <w:style w:type="paragraph" w:styleId="609">
    <w:name w:val="Balloon Text"/>
    <w:basedOn w:val="598"/>
    <w:link w:val="61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610" w:customStyle="1">
    <w:name w:val="Текст выноски Знак"/>
    <w:basedOn w:val="599"/>
    <w:link w:val="609"/>
    <w:uiPriority w:val="99"/>
    <w:semiHidden/>
    <w:rPr>
      <w:rFonts w:ascii="Segoe UI" w:hAnsi="Segoe UI" w:cs="Segoe UI"/>
      <w:sz w:val="18"/>
      <w:szCs w:val="18"/>
    </w:rPr>
  </w:style>
  <w:style w:type="character" w:styleId="611" w:customStyle="1">
    <w:name w:val="Основной шрифт абзаца1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hyperlink" Target="mailto:cav@gsvt.tomsk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9168E-D97C-4754-BBC6-D840CA7C4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Николаевна Чащина</dc:creator>
  <cp:revision>6</cp:revision>
  <dcterms:created xsi:type="dcterms:W3CDTF">2025-04-15T06:24:00Z</dcterms:created>
  <dcterms:modified xsi:type="dcterms:W3CDTF">2025-04-28T10:02:02Z</dcterms:modified>
</cp:coreProperties>
</file>