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15"/>
        <w:ind w:left="6521" w:hanging="425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УТВЕРЖДАЮ</w:t>
      </w:r>
      <w:r/>
    </w:p>
    <w:p>
      <w:pPr>
        <w:pStyle w:val="615"/>
        <w:ind w:left="6096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/>
      <w:bookmarkStart w:id="0" w:name="__DdeLink__491_2938923217"/>
      <w:r>
        <w:rPr>
          <w:rFonts w:ascii="PT Astra Serif" w:hAnsi="PT Astra Serif" w:cs="Times New Roman"/>
          <w:sz w:val="28"/>
          <w:szCs w:val="28"/>
        </w:rPr>
        <w:t xml:space="preserve">Н</w:t>
      </w:r>
      <w:r>
        <w:rPr>
          <w:rFonts w:ascii="PT Astra Serif" w:hAnsi="PT Astra Serif" w:cs="Times New Roman"/>
          <w:sz w:val="28"/>
          <w:szCs w:val="28"/>
        </w:rPr>
        <w:t xml:space="preserve">ачальник Департамента ветеринарии Томской области</w:t>
      </w:r>
      <w:r/>
    </w:p>
    <w:p>
      <w:pPr>
        <w:pStyle w:val="615"/>
        <w:ind w:left="6096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_____________</w:t>
      </w:r>
      <w:r>
        <w:rPr>
          <w:rFonts w:ascii="PT Astra Serif" w:hAnsi="PT Astra Serif" w:cs="Times New Roman"/>
          <w:sz w:val="28"/>
          <w:szCs w:val="28"/>
        </w:rPr>
        <w:t xml:space="preserve">В.В.Табакаев</w:t>
      </w:r>
      <w:r/>
    </w:p>
    <w:p>
      <w:pPr>
        <w:pStyle w:val="615"/>
        <w:ind w:left="6096"/>
        <w:spacing w:after="0" w:line="240" w:lineRule="auto"/>
      </w:pPr>
      <w:r>
        <w:rPr>
          <w:rFonts w:ascii="PT Astra Serif" w:hAnsi="PT Astra Serif" w:cs="Times New Roman"/>
          <w:sz w:val="28"/>
          <w:szCs w:val="28"/>
        </w:rPr>
        <w:t xml:space="preserve">«</w:t>
      </w:r>
      <w:r>
        <w:rPr>
          <w:rFonts w:ascii="PT Astra Serif" w:hAnsi="PT Astra Serif" w:cs="Times New Roman"/>
          <w:sz w:val="28"/>
          <w:szCs w:val="28"/>
          <w:lang w:val="en-US"/>
        </w:rPr>
        <w:t xml:space="preserve">29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>
        <w:rPr>
          <w:rFonts w:ascii="PT Astra Serif" w:hAnsi="PT Astra Serif" w:cs="Times New Roman"/>
          <w:sz w:val="28"/>
          <w:szCs w:val="28"/>
        </w:rPr>
        <w:t xml:space="preserve">января </w:t>
      </w:r>
      <w:r>
        <w:rPr>
          <w:rFonts w:ascii="PT Astra Serif" w:hAnsi="PT Astra Serif" w:cs="Times New Roman"/>
          <w:sz w:val="28"/>
          <w:szCs w:val="28"/>
        </w:rPr>
        <w:t xml:space="preserve">202</w:t>
      </w:r>
      <w:r>
        <w:rPr>
          <w:rFonts w:ascii="PT Astra Serif" w:hAnsi="PT Astra Serif" w:cs="Times New Roman"/>
          <w:sz w:val="28"/>
          <w:szCs w:val="28"/>
        </w:rPr>
        <w:t xml:space="preserve">5</w:t>
      </w:r>
      <w:r>
        <w:rPr>
          <w:rFonts w:ascii="PT Astra Serif" w:hAnsi="PT Astra Serif" w:cs="Times New Roman"/>
          <w:sz w:val="28"/>
          <w:szCs w:val="28"/>
        </w:rPr>
        <w:t xml:space="preserve"> года</w:t>
      </w:r>
      <w:bookmarkEnd w:id="0"/>
      <w:r/>
      <w:r/>
    </w:p>
    <w:p>
      <w:pPr>
        <w:jc w:val="center"/>
        <w:spacing w:after="0" w:line="240" w:lineRule="auto"/>
        <w:rPr>
          <w:rFonts w:ascii="PT Astra Serif" w:hAnsi="PT Astra Serif" w:cs="Arial-BoldMT"/>
          <w:b/>
          <w:bCs/>
          <w:color w:val="000000"/>
          <w:sz w:val="28"/>
          <w:szCs w:val="28"/>
        </w:rPr>
      </w:pPr>
      <w:r>
        <w:rPr>
          <w:rFonts w:ascii="PT Astra Serif" w:hAnsi="PT Astra Serif" w:cs="Arial-BoldMT"/>
          <w:b/>
          <w:bCs/>
          <w:color w:val="000000"/>
          <w:sz w:val="28"/>
          <w:szCs w:val="28"/>
        </w:rPr>
      </w:r>
      <w:r/>
    </w:p>
    <w:p>
      <w:pPr>
        <w:jc w:val="center"/>
        <w:spacing w:after="0" w:line="240" w:lineRule="auto"/>
        <w:rPr>
          <w:rFonts w:ascii="PT Astra Serif" w:hAnsi="PT Astra Serif" w:cs="Arial-BoldMT"/>
          <w:b/>
          <w:bCs/>
          <w:color w:val="000000"/>
          <w:sz w:val="28"/>
          <w:szCs w:val="28"/>
        </w:rPr>
      </w:pPr>
      <w:r>
        <w:rPr>
          <w:rFonts w:ascii="PT Astra Serif" w:hAnsi="PT Astra Serif" w:cs="Arial-BoldMT"/>
          <w:b/>
          <w:bCs/>
          <w:color w:val="000000"/>
          <w:sz w:val="28"/>
          <w:szCs w:val="28"/>
        </w:rPr>
        <w:t xml:space="preserve">РУКОВОДСТВО</w:t>
      </w:r>
      <w:r/>
    </w:p>
    <w:p>
      <w:pPr>
        <w:jc w:val="center"/>
        <w:spacing w:after="0" w:line="240" w:lineRule="auto"/>
        <w:rPr>
          <w:rFonts w:ascii="PT Astra Serif" w:hAnsi="PT Astra Serif" w:cs="Arial-BoldMT"/>
          <w:b/>
          <w:bCs/>
          <w:color w:val="000000"/>
          <w:sz w:val="28"/>
          <w:szCs w:val="28"/>
        </w:rPr>
      </w:pPr>
      <w:r>
        <w:rPr>
          <w:rFonts w:ascii="PT Astra Serif" w:hAnsi="PT Astra Serif" w:cs="Arial-BoldMT"/>
          <w:b/>
          <w:bCs/>
          <w:color w:val="000000"/>
          <w:sz w:val="28"/>
          <w:szCs w:val="28"/>
        </w:rPr>
        <w:t xml:space="preserve">ПО СОБЛЮДЕНИЮ ОБЯЗАТЕЛЬНЫХ ТРЕБОВАНИЙ</w:t>
      </w:r>
      <w:r/>
    </w:p>
    <w:p>
      <w:pPr>
        <w:jc w:val="center"/>
        <w:spacing w:after="0" w:line="240" w:lineRule="auto"/>
        <w:rPr>
          <w:rFonts w:ascii="PT Astra Serif" w:hAnsi="PT Astra Serif" w:cs="Arial-BoldMT"/>
          <w:b/>
          <w:bCs/>
          <w:color w:val="000000"/>
          <w:sz w:val="28"/>
          <w:szCs w:val="28"/>
        </w:rPr>
      </w:pPr>
      <w:r>
        <w:rPr>
          <w:rFonts w:ascii="PT Astra Serif" w:hAnsi="PT Astra Serif" w:cs="Arial-BoldMT"/>
          <w:b/>
          <w:bCs/>
          <w:color w:val="000000"/>
          <w:sz w:val="28"/>
          <w:szCs w:val="28"/>
        </w:rPr>
        <w:t xml:space="preserve">В ОБЛАСТИ ОБРАЩЕНИЯ С ЖИВОТНЫМИ</w:t>
      </w:r>
      <w:r/>
    </w:p>
    <w:p>
      <w:pPr>
        <w:jc w:val="both"/>
        <w:spacing w:after="0" w:line="240" w:lineRule="auto"/>
        <w:rPr>
          <w:rFonts w:ascii="PT Astra Serif" w:hAnsi="PT Astra Serif" w:cs="Arial-BoldMT"/>
          <w:bCs/>
          <w:color w:val="000000"/>
          <w:sz w:val="28"/>
          <w:szCs w:val="28"/>
        </w:rPr>
      </w:pPr>
      <w:r>
        <w:rPr>
          <w:rFonts w:ascii="PT Astra Serif" w:hAnsi="PT Astra Serif" w:cs="Arial-BoldMT"/>
          <w:bCs/>
          <w:color w:val="000000"/>
          <w:sz w:val="28"/>
          <w:szCs w:val="28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color w:val="000000"/>
          <w:sz w:val="28"/>
          <w:szCs w:val="28"/>
        </w:rPr>
      </w:pPr>
      <w:r>
        <w:rPr>
          <w:rFonts w:ascii="PT Astra Serif" w:hAnsi="PT Astra Serif" w:cs="ArialMT"/>
          <w:color w:val="000000"/>
          <w:sz w:val="28"/>
          <w:szCs w:val="28"/>
        </w:rPr>
        <w:t xml:space="preserve">Задачами государственного надзора в области обращения с животными являются предупреждение, выявление и пресе</w:t>
      </w:r>
      <w:r>
        <w:rPr>
          <w:rFonts w:ascii="PT Astra Serif" w:hAnsi="PT Astra Serif" w:cs="ArialMT"/>
          <w:color w:val="000000"/>
          <w:sz w:val="28"/>
          <w:szCs w:val="28"/>
        </w:rPr>
        <w:t xml:space="preserve">чение нарушений требований в области обращения с животными, установленных Федеральным законом от 27.12.2018 № 498-ФЗ «Об ответственном обращении с животными и о внесении изменений в отдельные законодательные акты Российской Федерации» (далее — Федеральный </w:t>
      </w:r>
      <w:r>
        <w:rPr>
          <w:rFonts w:ascii="PT Astra Serif" w:hAnsi="PT Astra Serif" w:cs="ArialMT"/>
          <w:color w:val="000000"/>
          <w:sz w:val="28"/>
          <w:szCs w:val="28"/>
        </w:rPr>
        <w:t xml:space="preserve">закон), другими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Томской области (далее – законодательство в области обращения с животными). 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/>
          <w:color w:val="000000"/>
          <w:sz w:val="28"/>
          <w:szCs w:val="28"/>
        </w:rPr>
      </w:pPr>
      <w:r>
        <w:rPr>
          <w:rFonts w:ascii="PT Astra Serif" w:hAnsi="PT Astra Serif" w:cs="ArialMT"/>
          <w:b/>
          <w:color w:val="000000"/>
          <w:sz w:val="28"/>
          <w:szCs w:val="28"/>
        </w:rPr>
        <w:t xml:space="preserve">Законодательство с области обращения с животными:</w:t>
      </w:r>
      <w:r/>
    </w:p>
    <w:p>
      <w:pPr>
        <w:ind w:firstLine="708"/>
        <w:jc w:val="both"/>
        <w:spacing w:after="0" w:line="240" w:lineRule="auto"/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 </w:t>
      </w:r>
      <w:r>
        <w:rPr>
          <w:rFonts w:ascii="PT Astra Serif" w:hAnsi="PT Astra Serif" w:cs="ArialMT"/>
          <w:bCs/>
          <w:color w:val="0b0101"/>
          <w:sz w:val="28"/>
          <w:szCs w:val="28"/>
        </w:rPr>
        <w:t xml:space="preserve">Федеральный закон Российской Федерации от 27 декабря 201</w:t>
      </w:r>
      <w:r>
        <w:rPr>
          <w:rFonts w:ascii="PT Astra Serif" w:hAnsi="PT Astra Serif" w:cs="ArialMT"/>
          <w:bCs/>
          <w:color w:val="0b0101"/>
          <w:sz w:val="28"/>
          <w:szCs w:val="28"/>
        </w:rPr>
        <w:t xml:space="preserve">8</w:t>
      </w:r>
      <w:r>
        <w:rPr>
          <w:rFonts w:ascii="PT Astra Serif" w:hAnsi="PT Astra Serif" w:cs="ArialMT"/>
          <w:bCs/>
          <w:color w:val="0b0101"/>
          <w:sz w:val="28"/>
          <w:szCs w:val="28"/>
        </w:rPr>
        <w:t xml:space="preserve"> года № 498-ФЗ «Об ответственном обращении с животными и о внесении изменений в отдельные законодательные акты Российской Федерации»;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постановление Правительства Российской Федерации от 29.07.2019 № 974 «Об утверждении перечня потенциально опасных собак»;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</w:t>
      </w:r>
      <w:r>
        <w:rPr>
          <w:rFonts w:ascii="PT Astra Serif" w:hAnsi="PT Astra Serif"/>
          <w:sz w:val="28"/>
          <w:szCs w:val="28"/>
        </w:rPr>
        <w:t xml:space="preserve">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постановление Правительства Российской Федерации от 25.07.2019 № 961 «Об утверждении перечня случаев, при которых допускается использование домашних животных в предпринимательской деятельности»;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п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остановление Правительства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Российской Федерации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от 6 июня 2023 г.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№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934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«Об утверждении требований к содержанию животных в местах, используемых для торговли животными»;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постановлением Правительства Российской Федерации от 22 июня 2019 г.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№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795 "Об утверждении перечня животных, запрещенных к содержанию".</w:t>
      </w:r>
      <w:r/>
    </w:p>
    <w:p>
      <w:pPr>
        <w:ind w:firstLine="708"/>
        <w:jc w:val="both"/>
        <w:spacing w:after="0" w:line="240" w:lineRule="auto"/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приказ Департамента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ветеринарии Томской области от 15.11.2023 № 6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«Об установлении порядка осуществления деятельности по обращению с животными без владельцев на территории Томской области»; </w:t>
      </w:r>
      <w:r/>
    </w:p>
    <w:p>
      <w:pPr>
        <w:ind w:firstLine="708"/>
        <w:jc w:val="both"/>
        <w:spacing w:after="0" w:line="240" w:lineRule="auto"/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приказ Департамента ветеринарии Томской области от 06.04.2020 № 9 «Об установлении порядка организации деятельности приютов для животных и норм содержания животных в них на территории Томской области»;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приказ Департамента ветеринарии Томской области от 10.04.2020 № 11 «Об утверждении перечня дополнительных сведений о поступивших в приют для животных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животных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 от права собственности на которых владельцы отказались, и порядка размещения этих сведений в информационно-телек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оммуникационной сети «Интернет»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/>
          <w:color w:val="000000"/>
          <w:sz w:val="28"/>
          <w:szCs w:val="28"/>
        </w:rPr>
      </w:pPr>
      <w:r>
        <w:rPr>
          <w:rFonts w:ascii="PT Astra Serif" w:hAnsi="PT Astra Serif" w:cs="ArialMT"/>
          <w:b/>
          <w:color w:val="000000"/>
          <w:sz w:val="28"/>
          <w:szCs w:val="28"/>
        </w:rPr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/>
          <w:color w:val="000000"/>
          <w:sz w:val="28"/>
          <w:szCs w:val="28"/>
        </w:rPr>
      </w:pPr>
      <w:r>
        <w:rPr>
          <w:rFonts w:ascii="PT Astra Serif" w:hAnsi="PT Astra Serif" w:cs="ArialMT"/>
          <w:b/>
          <w:color w:val="000000"/>
          <w:sz w:val="28"/>
          <w:szCs w:val="28"/>
        </w:rPr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/>
          <w:color w:val="000000"/>
          <w:sz w:val="28"/>
          <w:szCs w:val="28"/>
        </w:rPr>
      </w:pPr>
      <w:r>
        <w:rPr>
          <w:rFonts w:ascii="PT Astra Serif" w:hAnsi="PT Astra Serif" w:cs="ArialMT"/>
          <w:b/>
          <w:color w:val="000000"/>
          <w:sz w:val="28"/>
          <w:szCs w:val="28"/>
        </w:rPr>
        <w:t xml:space="preserve">Законодательство в области обращения с животными регулирует отношения в области обращения с животными в целях: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color w:val="000000"/>
          <w:sz w:val="28"/>
          <w:szCs w:val="28"/>
        </w:rPr>
      </w:pPr>
      <w:r>
        <w:rPr>
          <w:rFonts w:ascii="PT Astra Serif" w:hAnsi="PT Astra Serif" w:cs="ArialMT"/>
          <w:color w:val="000000"/>
          <w:sz w:val="28"/>
          <w:szCs w:val="28"/>
        </w:rPr>
        <w:t xml:space="preserve">- защиты животных, а также укрепления нравственности;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color w:val="000000"/>
          <w:sz w:val="28"/>
          <w:szCs w:val="28"/>
        </w:rPr>
      </w:pPr>
      <w:r>
        <w:rPr>
          <w:rFonts w:ascii="PT Astra Serif" w:hAnsi="PT Astra Serif" w:cs="ArialMT"/>
          <w:color w:val="000000"/>
          <w:sz w:val="28"/>
          <w:szCs w:val="28"/>
        </w:rPr>
        <w:t xml:space="preserve">- соблюдения принципов гуманности; 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color w:val="000000"/>
          <w:sz w:val="28"/>
          <w:szCs w:val="28"/>
        </w:rPr>
      </w:pPr>
      <w:r>
        <w:rPr>
          <w:rFonts w:ascii="PT Astra Serif" w:hAnsi="PT Astra Serif" w:cs="ArialMT"/>
          <w:color w:val="000000"/>
          <w:sz w:val="28"/>
          <w:szCs w:val="28"/>
        </w:rPr>
        <w:t xml:space="preserve">- обеспечения безопасности и иных прав и законных интересов граждан при обращении с животными.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/>
          <w:bCs/>
          <w:color w:val="000000"/>
          <w:sz w:val="28"/>
          <w:szCs w:val="28"/>
        </w:rPr>
      </w:pPr>
      <w:r>
        <w:rPr>
          <w:rFonts w:ascii="PT Astra Serif" w:hAnsi="PT Astra Serif" w:cs="ArialMT"/>
          <w:b/>
          <w:bCs/>
          <w:color w:val="000000"/>
          <w:sz w:val="28"/>
          <w:szCs w:val="28"/>
        </w:rPr>
        <w:t xml:space="preserve">Основными принципами </w:t>
      </w:r>
      <w:r>
        <w:rPr>
          <w:rFonts w:ascii="PT Astra Serif" w:hAnsi="PT Astra Serif" w:cs="ArialMT"/>
          <w:b/>
          <w:color w:val="000000"/>
          <w:sz w:val="28"/>
          <w:szCs w:val="28"/>
        </w:rPr>
        <w:t xml:space="preserve">обращения с животными </w:t>
      </w:r>
      <w:r>
        <w:rPr>
          <w:rFonts w:ascii="PT Astra Serif" w:hAnsi="PT Astra Serif" w:cs="ArialMT"/>
          <w:b/>
          <w:bCs/>
          <w:color w:val="000000"/>
          <w:sz w:val="28"/>
          <w:szCs w:val="28"/>
        </w:rPr>
        <w:t xml:space="preserve">являются: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/>
      <w:bookmarkStart w:id="1" w:name="dst100032"/>
      <w:r/>
      <w:bookmarkEnd w:id="1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отношение к животным как к существам, способным испытывать эмоции и физические страдания;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/>
      <w:bookmarkStart w:id="2" w:name="dst100033"/>
      <w:r/>
      <w:bookmarkEnd w:id="2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ответственность человека за судьбу животного;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/>
      <w:bookmarkStart w:id="3" w:name="dst100034"/>
      <w:r/>
      <w:bookmarkEnd w:id="3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 воспитание у населения нравственного и гуманного отношения к животным;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/>
      <w:bookmarkStart w:id="4" w:name="dst100035"/>
      <w:r/>
      <w:bookmarkEnd w:id="4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 научно обоснованное сочетание нравственных, экономических и социальных интересов человека, общества и государства.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/>
          <w:bCs/>
          <w:color w:val="000000"/>
          <w:sz w:val="28"/>
          <w:szCs w:val="28"/>
        </w:rPr>
      </w:pPr>
      <w:r>
        <w:rPr>
          <w:rFonts w:ascii="PT Astra Serif" w:hAnsi="PT Astra Serif" w:cs="ArialMT"/>
          <w:b/>
          <w:bCs/>
          <w:color w:val="000000"/>
          <w:sz w:val="28"/>
          <w:szCs w:val="28"/>
        </w:rPr>
        <w:t xml:space="preserve">Защита животных от жестокого обращения: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color w:val="000000"/>
          <w:sz w:val="28"/>
          <w:szCs w:val="28"/>
        </w:rPr>
      </w:pPr>
      <w:r>
        <w:rPr>
          <w:rFonts w:ascii="PT Astra Serif" w:hAnsi="PT Astra Serif" w:cs="ArialMT"/>
          <w:color w:val="000000"/>
          <w:sz w:val="28"/>
          <w:szCs w:val="28"/>
        </w:rPr>
        <w:t xml:space="preserve">- в соответствии с Федеральным законом жестокое обращение с животным - обращение с животным, которое привело или может привести к гибели, увечью или иному п</w:t>
      </w:r>
      <w:r>
        <w:rPr>
          <w:rFonts w:ascii="PT Astra Serif" w:hAnsi="PT Astra Serif" w:cs="ArialMT"/>
          <w:color w:val="000000"/>
          <w:sz w:val="28"/>
          <w:szCs w:val="28"/>
        </w:rPr>
        <w:t xml:space="preserve">овреждению здоровья животного (включая истязание животного, в том числе голодом, жаждой, побоями, иными действиями), нарушение требований к содержанию животных, установленных настоящим Федеральным законом, другими федеральными законами и иными нормативными</w:t>
      </w:r>
      <w:r>
        <w:rPr>
          <w:rFonts w:ascii="PT Astra Serif" w:hAnsi="PT Astra Serif" w:cs="ArialMT"/>
          <w:color w:val="000000"/>
          <w:sz w:val="28"/>
          <w:szCs w:val="28"/>
        </w:rPr>
        <w:t xml:space="preserve"> правовыми актами Российской Федерации (в том числе отказ владельца от содержания животного), причинившее вред здоровью животного, либо неоказание при наличии возможности владельцем помощи животному, находящемуся в опасном для жизни или здоровья состоянии;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запрещается пропаганда жестокого обращения с животными, а также призывы к жестокому обращению с животными;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запрещено производство, изготовление, показ и распространение пропагандирующих жестокое обращение с животными кино-, видео- и ф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отоматериалов, печатной продукции, аудиовизуальной продукции, размещение таких материалов и продукции в информационно-телекоммуникационных сетях (в том числе в сети «Интернет») и осуществление иных действий, пропагандирующих жестокое обращение с животными.</w:t>
      </w:r>
      <w:r/>
    </w:p>
    <w:p>
      <w:pPr>
        <w:ind w:firstLine="708"/>
        <w:spacing w:after="0" w:line="240" w:lineRule="auto"/>
        <w:rPr>
          <w:rFonts w:ascii="PT Astra Serif" w:hAnsi="PT Astra Serif" w:cs="ArialMT"/>
          <w:b/>
          <w:bCs/>
          <w:color w:val="000000"/>
          <w:sz w:val="28"/>
          <w:szCs w:val="28"/>
        </w:rPr>
      </w:pPr>
      <w:r>
        <w:rPr>
          <w:rFonts w:ascii="PT Astra Serif" w:hAnsi="PT Astra Serif" w:cs="ArialMT"/>
          <w:b/>
          <w:bCs/>
          <w:color w:val="000000"/>
          <w:sz w:val="28"/>
          <w:szCs w:val="28"/>
        </w:rPr>
        <w:t xml:space="preserve">При обращении с животными не допускается: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содерж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ание и использование животных, включенных в перечень животных, запрещенных к содержанию, утвержденный Правительством Российской Федерации. Данный запрет не распространяется на случаи содержания и использования таких животных в зоопарках, зоосадах, цирках,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зоотеатрах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, дельфинариях, океанариумах или в качестве служебных животных, содержания и использования объектов животного мира в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полувольных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условиях или искусственно созданной среде обитания либо диких животных в неволе, которые подлежат выпуску в среду их обитания, а также на иные случаи, установленные Правительством Российской Федерации;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натравливание животных на людей, за исключением случаев необходимой обороны, использования служебных животных в соответствии с законодательством Российской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Федерации или дрессировки собак кинологами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проведение на животных без применения обезболивающих лекарственных препаратов для ветеринарного применения ветеринарных и иных процедур, которые могут вызвать у животных непереносимую боль;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натравливание животных (за исключением служебных животных) на других животных;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отказ владельцев животных от исполнения ими обязанностей по содержанию животных до их определения в приюты для животных или отчуждения иным законным способом;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торговля животными в местах, специально не отведенных для этого;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</w:t>
      </w:r>
      <w:r>
        <w:rPr>
          <w:rFonts w:ascii="PT Astra Serif" w:hAnsi="PT Astra Serif"/>
          <w:sz w:val="28"/>
          <w:szCs w:val="28"/>
        </w:rPr>
        <w:t xml:space="preserve">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организация и проведение боев животных;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 организация и проведение зрелищных мероприятий, влекущих за собой нанесение травм и увечий животным, умерщвление животных;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кормление хищн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ых животных другими живыми животными в местах, открытых для свободного посещения, за исключением случаев, предусмотренных требованиями к использованию животных в культурно-зрелищных целях и их содержанию, установленными Правительством Российской Федерации.</w:t>
      </w:r>
      <w:r/>
    </w:p>
    <w:p>
      <w:pPr>
        <w:ind w:firstLine="708"/>
        <w:jc w:val="center"/>
        <w:spacing w:after="0" w:line="240" w:lineRule="auto"/>
        <w:rPr>
          <w:rFonts w:ascii="PT Astra Serif" w:hAnsi="PT Astra Serif" w:cs="ArialMT"/>
          <w:b/>
          <w:bCs/>
          <w:sz w:val="28"/>
          <w:szCs w:val="28"/>
        </w:rPr>
      </w:pPr>
      <w:r>
        <w:rPr>
          <w:rFonts w:ascii="PT Astra Serif" w:hAnsi="PT Astra Serif" w:cs="ArialMT"/>
          <w:b/>
          <w:bCs/>
          <w:sz w:val="28"/>
          <w:szCs w:val="28"/>
        </w:rPr>
      </w:r>
      <w:r/>
    </w:p>
    <w:p>
      <w:pPr>
        <w:ind w:firstLine="708"/>
        <w:jc w:val="center"/>
        <w:spacing w:after="0" w:line="240" w:lineRule="auto"/>
        <w:rPr>
          <w:rFonts w:ascii="PT Astra Serif" w:hAnsi="PT Astra Serif" w:cs="ArialMT"/>
          <w:b/>
          <w:bCs/>
          <w:sz w:val="28"/>
          <w:szCs w:val="28"/>
        </w:rPr>
      </w:pPr>
      <w:r>
        <w:rPr>
          <w:rFonts w:ascii="PT Astra Serif" w:hAnsi="PT Astra Serif" w:cs="ArialMT"/>
          <w:b/>
          <w:bCs/>
          <w:sz w:val="28"/>
          <w:szCs w:val="28"/>
        </w:rPr>
        <w:t xml:space="preserve">Требовани</w:t>
      </w:r>
      <w:r>
        <w:rPr>
          <w:rFonts w:ascii="PT Astra Serif" w:hAnsi="PT Astra Serif" w:cs="ArialMT"/>
          <w:b/>
          <w:bCs/>
          <w:sz w:val="28"/>
          <w:szCs w:val="28"/>
        </w:rPr>
        <w:t xml:space="preserve">я</w:t>
      </w:r>
      <w:r>
        <w:rPr>
          <w:rFonts w:ascii="PT Astra Serif" w:hAnsi="PT Astra Serif" w:cs="ArialMT"/>
          <w:b/>
          <w:bCs/>
          <w:sz w:val="28"/>
          <w:szCs w:val="28"/>
        </w:rPr>
        <w:t xml:space="preserve"> к содержанию животных в местах, используемых для торговли животными.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Лица, осуществляющие торговлю животными, обязаны: 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нести установленные законодательством Российской Федерации обязанности владельца по содержанию животных;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обеспечивать соблюдение требований в отношении реализуемых животных до момента их передачи покупателю, если договором купли-продажи не установлено иное;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поддерживать чистоту в местах, используемых для торговли животными, путем удаления загрязнений и продуктов жизнедеятельности животных;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при использовании в качестве мест для торговли животными помещений, расположенных в многоквартирном доме, индивидуального жилого дома соблюдать права и законные интересы проживающих в них лиц;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поддерживать в помещениях, используемых для торговли животными, режим освещения, приближенный к естественному циклу жизни животных (день - ночь);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содержать раздельно виды животных в зависимости от их биологических особенностей в целях предотвращения конфликтных ситуаций между животными и случаев их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травмирования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мыть и дезинфицировать места содержания животных и находящийся в них инвентарь не реже одного раза в неделю и при каждой смене животного в таком месте содержания, а приспособления (емкости) для воды и еды - не реже одного раза в день;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в случае выявления у животного признаков заболеваний принять меры по его изоляции и выполнять указания специалистов в области ветеринарии;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-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обеспечить условия содержания животных в местах, используемых для торговли животными, в соответствии с их видовыми и индивидуальными особенностями согласно </w:t>
      </w:r>
      <w:hyperlink w:tooltip="УСЛОВИЯ" w:anchor="Par59" w:history="1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 xml:space="preserve">приложениям №</w:t>
        </w:r>
        <w:r>
          <w:rPr>
            <w:rFonts w:ascii="PT Astra Serif" w:hAnsi="PT Astra Serif" w:cs="ArialMT"/>
            <w:bCs/>
            <w:color w:val="000000"/>
            <w:sz w:val="28"/>
            <w:szCs w:val="28"/>
          </w:rPr>
          <w:t xml:space="preserve"> 1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- </w:t>
      </w:r>
      <w:hyperlink w:tooltip="УСЛОВИЯ" w:anchor="Par874" w:history="1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 xml:space="preserve">14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к постановлению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В местах, используемых для торговли животными, не допускается содержание животных, включенных в </w:t>
      </w:r>
      <w:hyperlink r:id="rId8" w:tooltip="https://login.consultant.ru/link/?req=doc&amp;demo=1&amp;base=LAW&amp;n=327714&amp;date=14.12.2023&amp;dst=100008&amp;field=134" w:history="1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 xml:space="preserve">перечень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животных, запрещенных к содержанию, утвержденный постановлением Правительства Российской Федерации от 22 июня 2019 г.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№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795 "Об утверждении перечня животных, запрещенных к содержанию".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Кормовой рацион, график кормления и поения животных, размер порций питания и объем питьевой воды, наличие подстилочного и абсорбирующего материалов, периодичность уборки в местах содержания животных, обработк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и (чистка, мытье) животных определяются и утверждаются распорядительным актом лица, осуществляющего торговлю животными, исходя из необходимости обеспечения животному надлежащего ухода и питания в соответствии с видовыми потребностями и возрастом животного.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</w:r>
      <w:r/>
    </w:p>
    <w:p>
      <w:pPr>
        <w:jc w:val="center"/>
        <w:spacing w:after="0" w:line="240" w:lineRule="auto"/>
        <w:rPr>
          <w:rFonts w:ascii="PT Astra Serif" w:hAnsi="PT Astra Serif" w:cs="ArialMT"/>
          <w:b/>
          <w:bCs/>
          <w:color w:val="000000"/>
          <w:sz w:val="28"/>
          <w:szCs w:val="28"/>
        </w:rPr>
      </w:pPr>
      <w:r>
        <w:rPr>
          <w:rFonts w:ascii="PT Astra Serif" w:hAnsi="PT Astra Serif" w:cs="ArialMT"/>
          <w:b/>
          <w:bCs/>
          <w:color w:val="000000"/>
          <w:sz w:val="28"/>
          <w:szCs w:val="28"/>
        </w:rPr>
        <w:t xml:space="preserve">Руководство</w:t>
      </w:r>
      <w:r>
        <w:rPr>
          <w:rFonts w:ascii="PT Astra Serif" w:hAnsi="PT Astra Serif" w:cs="Arial-BoldMT"/>
          <w:b/>
          <w:bCs/>
          <w:color w:val="000000"/>
          <w:sz w:val="28"/>
          <w:szCs w:val="28"/>
        </w:rPr>
        <w:t xml:space="preserve"> по соблюдению обязательных требований в части организации и работы приютов для животных</w:t>
      </w:r>
      <w:r>
        <w:rPr>
          <w:rFonts w:ascii="PT Astra Serif" w:hAnsi="PT Astra Serif" w:cs="Arial-BoldMT"/>
          <w:b/>
          <w:bCs/>
          <w:color w:val="000000"/>
          <w:sz w:val="28"/>
          <w:szCs w:val="28"/>
        </w:rPr>
        <w:t xml:space="preserve"> и деятельности по обращению с животными без владельцев.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Юридические лица и индивидуальные предприниматели, создавшие приюты для животных, обязаны соблюдать обязательные требования, установленные нормативными правовыми актами в области обращения с животными.</w:t>
      </w:r>
      <w:r/>
    </w:p>
    <w:p>
      <w:pPr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ab/>
        <w:t xml:space="preserve">Приюты для животных создаются в целях осуществления деятельности по содержанию животных, в том числе животных без владельцев, животных, от права собственности на которых владельцы отказались.</w:t>
      </w:r>
      <w:r/>
    </w:p>
    <w:p>
      <w:pPr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ab/>
        <w:t xml:space="preserve">Приюты для животных размещаются в специально предназначенных для этого зданиях, строениях, сооружениях.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В отношении животных, находящихся в приютах для животных, владельцы приютов для</w:t>
      </w:r>
      <w:r>
        <w:rPr>
          <w:rStyle w:val="603"/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животных и уполномоченные ими лица несут обязанности как владельцы животных.</w:t>
      </w:r>
      <w:bookmarkStart w:id="5" w:name="dst100127"/>
      <w:r/>
      <w:bookmarkEnd w:id="5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Владельцы приютов для животных и уполномоченные ими лица должны соблюдать общие требования к содержанию животных, а также следующие дополнительные требования: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/>
      <w:bookmarkStart w:id="6" w:name="dst100128"/>
      <w:r/>
      <w:bookmarkEnd w:id="6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1) проводить осмотр и осуществлять мероприятия по обязательному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карантинированию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в течение десяти дней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,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поступивших в приюты для животных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животных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</w:t>
      </w:r>
      <w:r>
        <w:rPr>
          <w:rStyle w:val="603"/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от права собственности на которых владельцы отказались, вакцинацию таких животных против бешенства и иных заболеваний, опасных для человека и животных;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/>
      <w:bookmarkStart w:id="7" w:name="dst100129"/>
      <w:r/>
      <w:bookmarkEnd w:id="7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2) осуществлять учет животных, маркирование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неснимаемыми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и несмываемыми метками поступивших в приюты для животных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животных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 от права собственности на которых владельцы отказались;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/>
      <w:bookmarkStart w:id="8" w:name="dst100130"/>
      <w:r/>
      <w:bookmarkEnd w:id="8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3) осуществлять стерилизацию поступивших в приюты для животных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животных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/>
      <w:bookmarkStart w:id="9" w:name="dst100131"/>
      <w:r/>
      <w:bookmarkEnd w:id="9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4) содержать поступивших в приюты для животных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животных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 от права собственности на которых владельцы отказались, до наступления естественной смерти таких животных либо возврата таких животных на прежние места их обитания или передачи таких животных новым владельцам;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/>
      <w:bookmarkStart w:id="10" w:name="dst100132"/>
      <w:r/>
      <w:bookmarkEnd w:id="10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5) возвращать владельцам животных, имеющих на ошейниках или иных предметах сведения о владельцах;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/>
      <w:bookmarkStart w:id="11" w:name="dst100133"/>
      <w:r/>
      <w:bookmarkEnd w:id="11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6) обеспечивать владельцу потерявшегося животного или уполномоченному владельцем такого животного лицу возможность поиска животного путем осмотра содержащихся в приютах для животных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животных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владельцев;</w:t>
      </w:r>
      <w:r/>
    </w:p>
    <w:p>
      <w:pPr>
        <w:ind w:firstLine="709"/>
        <w:jc w:val="both"/>
        <w:spacing w:after="0" w:line="240" w:lineRule="auto"/>
      </w:pPr>
      <w:r/>
      <w:bookmarkStart w:id="12" w:name="dst100134"/>
      <w:r/>
      <w:bookmarkEnd w:id="12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7) размещать в информационно-телекоммуникационной сети «Интернет» в соответствии с </w:t>
      </w:r>
      <w:hyperlink r:id="rId9" w:tooltip="http://www.consultant.ru/document/cons_doc_LAW_341987/f2d4cb4e0b9a88b0a3d7427ec428b96528113cbe/#dst100137" w:anchor="dst100137" w:history="1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 xml:space="preserve">частями 9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и </w:t>
      </w:r>
      <w:hyperlink r:id="rId10" w:tooltip="http://www.consultant.ru/document/cons_doc_LAW_341987/f2d4cb4e0b9a88b0a3d7427ec428b96528113cbe/#dst100138" w:anchor="dst100138" w:history="1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 xml:space="preserve">10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Федерального закона сведения о находящихся в приютах для животных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животных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 от права собственности на которых владельцы отказались;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/>
      <w:bookmarkStart w:id="13" w:name="dst100135"/>
      <w:r/>
      <w:bookmarkEnd w:id="13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8) вести документально подтвержденный учет поступления животных в приюты для животных и выбытия животных из приютов для животных.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/>
      <w:bookmarkStart w:id="14" w:name="dst100136"/>
      <w:r/>
      <w:bookmarkEnd w:id="14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Передавать животных без владельцев и животных, от права собственности на которых владельцы отказались, физическим лицам и юридическим лицам для использования таких животных в качестве лабораторных животных не допускается.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/>
      <w:bookmarkStart w:id="15" w:name="dst100137"/>
      <w:r/>
      <w:bookmarkEnd w:id="15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Сведения (фотография, краткое описание, дата и место обнаружения и иные дополнительные сведения) о каждом из поступивших в приют для животных животном без владельца и животном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, от права собственности на которое владелец отказался, размещаются сотрудниками приюта для животных в информационно-телекоммуникационной сети «Интернет» не позднее чем в течение трех дней со дня поступления соответствующего животного в приют для животных.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/>
      <w:bookmarkStart w:id="16" w:name="dst100138"/>
      <w:r/>
      <w:bookmarkEnd w:id="16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Размещать дополнительные сведения о поступивших в приют для животных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животных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 от права собственности на которых владельцы отказались, в соответствии с приказом Департамента ветеринарии Томской области от 10.04.2020 №</w:t>
      </w:r>
      <w:bookmarkStart w:id="17" w:name="dst100139"/>
      <w:r/>
      <w:bookmarkEnd w:id="17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11 «Об утверждении перечня дополнительных сведений о поступивших в приют для животных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животных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без владельцев и животных, от права собственности на которых владельцы отказались, и порядка размещения этих сведений в информационно-телекоммуникационной сети «Интернет».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Животных, с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одержащихся в приютах для животных, умерщвлять запрещено, за исключением случаев необходимости прекращения непереносимых физических страданий нежизнеспособных животных при наличии достоверно установленных специалистом в области ветеринарии тяжелого неизлеч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имого заболевания животного или неизлечимых последствий острой травмы, несовместимых с жизнью животного, и соответствующая процедура должна производиться специалистом в области ветеринарии гуманными методами, гарантирующими быструю и безболезненную смерть.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Правила организации деятельности приютов для животных и нормы содержания животных в них, подробно описаны в Порядке организации деятельности приютов для животных и норм содержания животных в них на террит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ории Томской области, утвержденном приказом Департамента ветеринарии Томской области от 06.04.2020 № 9. Приказ размещен на официальном сайте Департамента ветеринарии Томской области в сети интернет https://gosvet.tomsk.gov.ru/documents/front/view/id/56446.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Правила осуществления деятельности по обращению с животными без владельцев на территории Томской области утверждены приказом Департамента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ветеринарии Томской области от 15.11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.202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3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№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6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. Приказ размещен на официальном сайте Департамента ветеринарии Томской области в сети интернет https://gosvet.tomsk.gov.ru/documents/front/view/id/53696.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Порядок содержит положения, направленные на соблюдение требований к осуществлению деятельности по обращению с животными, которые не имеют владельцев, а также с животными, владельцы которых неизвестны, установленных </w:t>
      </w:r>
      <w:hyperlink r:id="rId11" w:tooltip="consultantplus://offline/ref=F9039063188E0BF7C5B16DA1D5BAD0C67045F38306E8E8978439988CF7D3B175B462027DBCC80A9DE766F9BE540DA1F8C66FDD354F3B1C28J1D2E" w:history="1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 xml:space="preserve">статьями 17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и </w:t>
      </w:r>
      <w:hyperlink r:id="rId12" w:tooltip="consultantplus://offline/ref=F9039063188E0BF7C5B16DA1D5BAD0C67045F38306E8E8978439988CF7D3B175B462027DBCC80A9CE766F9BE540DA1F8C66FDD354F3B1C28J1D2E" w:history="1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 xml:space="preserve">18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Федерального закона. </w:t>
      </w:r>
      <w:r/>
    </w:p>
    <w:p>
      <w:pPr>
        <w:ind w:firstLine="708"/>
        <w:jc w:val="both"/>
        <w:spacing w:after="0" w:line="240" w:lineRule="auto"/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В целях определения уровня соблюдения обязательных требований в области обращения с животными без владельцев можно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воспользоваться проверочными листами, размещенными на официальном сайте Департамента ветеринарии Томской области в сети интернет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https://gosvet.tomsk.gov.ru/proverochnye-listy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.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</w:t>
      </w:r>
      <w:r/>
    </w:p>
    <w:p>
      <w:pPr>
        <w:jc w:val="center"/>
        <w:spacing w:after="0" w:line="240" w:lineRule="auto"/>
        <w:rPr>
          <w:rFonts w:ascii="PT Astra Serif" w:hAnsi="PT Astra Serif" w:cs="ArialMT"/>
          <w:bCs/>
          <w:i/>
          <w:color w:val="000000"/>
          <w:sz w:val="28"/>
          <w:szCs w:val="28"/>
        </w:rPr>
      </w:pPr>
      <w:r>
        <w:rPr>
          <w:rFonts w:ascii="PT Astra Serif" w:hAnsi="PT Astra Serif" w:cs="ArialMT"/>
          <w:bCs/>
          <w:i/>
          <w:color w:val="000000"/>
          <w:sz w:val="28"/>
          <w:szCs w:val="28"/>
        </w:rPr>
      </w:r>
      <w:r/>
    </w:p>
    <w:p>
      <w:pPr>
        <w:ind w:firstLine="708"/>
        <w:jc w:val="center"/>
        <w:spacing w:after="0" w:line="240" w:lineRule="auto"/>
        <w:rPr>
          <w:rFonts w:ascii="PT Astra Serif" w:hAnsi="PT Astra Serif" w:cs="ArialMT"/>
          <w:b/>
          <w:color w:val="000000"/>
          <w:sz w:val="28"/>
          <w:szCs w:val="28"/>
        </w:rPr>
      </w:pPr>
      <w:r>
        <w:rPr>
          <w:rFonts w:ascii="PT Astra Serif" w:hAnsi="PT Astra Serif" w:cs="ArialMT"/>
          <w:b/>
          <w:color w:val="000000"/>
          <w:sz w:val="28"/>
          <w:szCs w:val="28"/>
        </w:rPr>
        <w:t xml:space="preserve">Ответственность за нарушения законодательства в области обращения с животными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За нарушение требований Федерального закона владельцы животных и иные лица несут административную, уголовную и иную ответственность в порядке, установленном законодательством Российской Федерации.</w:t>
      </w:r>
      <w:r/>
    </w:p>
    <w:p>
      <w:pPr>
        <w:pStyle w:val="614"/>
        <w:ind w:firstLine="709"/>
        <w:jc w:val="both"/>
        <w:spacing w:beforeAutospacing="0" w:after="0" w:afterAutospacing="0"/>
        <w:shd w:val="clear" w:color="auto" w:fill="ffffff"/>
        <w:rPr>
          <w:rFonts w:ascii="PT Astra Serif" w:hAnsi="PT Astra Serif" w:cs="ArialMT" w:eastAsiaTheme="minorHAnsi"/>
          <w:bCs/>
          <w:color w:val="000000"/>
          <w:sz w:val="28"/>
          <w:szCs w:val="28"/>
        </w:rPr>
      </w:pP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Статьёй 8.52 Кодекса Российской Федерации об административных правонарушениях предусмотрена ответственность за</w:t>
      </w:r>
      <w:r>
        <w:rPr>
          <w:color w:val="000000"/>
          <w:sz w:val="30"/>
          <w:szCs w:val="30"/>
        </w:rPr>
        <w:t xml:space="preserve"> </w:t>
      </w: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несоблюдение требований к содержанию животных</w:t>
      </w: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: </w:t>
      </w:r>
      <w:r/>
    </w:p>
    <w:p>
      <w:pPr>
        <w:pStyle w:val="614"/>
        <w:ind w:firstLine="709"/>
        <w:jc w:val="both"/>
        <w:spacing w:beforeAutospacing="0" w:after="0" w:afterAutospacing="0"/>
        <w:shd w:val="clear" w:color="auto" w:fill="ffffff"/>
        <w:rPr>
          <w:rFonts w:ascii="PT Astra Serif" w:hAnsi="PT Astra Serif" w:cs="ArialMT" w:eastAsiaTheme="minorHAnsi"/>
          <w:bCs/>
          <w:color w:val="000000"/>
          <w:sz w:val="28"/>
          <w:szCs w:val="28"/>
        </w:rPr>
      </w:pP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1. </w:t>
      </w: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Несоблюдение общих </w:t>
      </w:r>
      <w:hyperlink r:id="rId13" w:tooltip="https://www.consultant.ru/document/cons_doc_LAW_482855/b2d155e355a125bbe89726402f1c374dcdd762f4/#dst100068" w:anchor="dst100068" w:history="1">
        <w:r>
          <w:rPr>
            <w:rFonts w:ascii="PT Astra Serif" w:hAnsi="PT Astra Serif" w:cs="ArialMT" w:eastAsiaTheme="minorHAnsi"/>
            <w:bCs/>
            <w:color w:val="000000"/>
            <w:sz w:val="28"/>
            <w:szCs w:val="28"/>
          </w:rPr>
          <w:t xml:space="preserve">требований</w:t>
        </w:r>
      </w:hyperlink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 к содержанию животных, а также требований к содержанию домашних животных</w:t>
      </w: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 </w:t>
      </w: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влечет предупреждение или наложение административного штрафа</w:t>
      </w: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 </w:t>
      </w: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на граждан в размере от одной тысячи пятисот до трех </w:t>
      </w: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тысяч рублей; на должностных лиц - от пяти тысяч до пятнадцати тысяч рублей; на юридических лиц - от пятнадцати тысяч до тридцати тысяч рублей.</w:t>
      </w:r>
      <w:r/>
    </w:p>
    <w:p>
      <w:pPr>
        <w:pStyle w:val="614"/>
        <w:ind w:firstLine="709"/>
        <w:jc w:val="both"/>
        <w:spacing w:beforeAutospacing="0" w:after="0" w:afterAutospacing="0"/>
        <w:shd w:val="clear" w:color="auto" w:fill="ffffff"/>
        <w:rPr>
          <w:rFonts w:ascii="PT Astra Serif" w:hAnsi="PT Astra Serif" w:cs="ArialMT" w:eastAsiaTheme="minorHAnsi"/>
          <w:bCs/>
          <w:color w:val="000000"/>
          <w:sz w:val="28"/>
          <w:szCs w:val="28"/>
        </w:rPr>
      </w:pP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2. </w:t>
      </w:r>
      <w:hyperlink r:id="rId14" w:tooltip="https://www.consultant.ru/document/cons_doc_LAW_452891/9b656b07c1d9f2c94436978c08864fb879933301/#dst100083" w:anchor="dst100083" w:history="1">
        <w:r>
          <w:rPr>
            <w:rFonts w:ascii="PT Astra Serif" w:hAnsi="PT Astra Serif" w:cs="ArialMT" w:eastAsiaTheme="minorHAnsi"/>
            <w:bCs/>
            <w:color w:val="000000"/>
            <w:sz w:val="28"/>
            <w:szCs w:val="28"/>
          </w:rPr>
          <w:t xml:space="preserve">Жестокое</w:t>
        </w:r>
      </w:hyperlink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 обращение с животными, если эти действия не содержат признаков уголовно наказуемого </w:t>
      </w:r>
      <w:hyperlink r:id="rId15" w:tooltip="https://www.consultant.ru/document/cons_doc_LAW_462992/6e2829afe7edbdbbe54047b79b4784ca6cc45d53/#dst2340" w:anchor="dst2340" w:history="1">
        <w:r>
          <w:rPr>
            <w:rFonts w:ascii="PT Astra Serif" w:hAnsi="PT Astra Serif" w:cs="ArialMT" w:eastAsiaTheme="minorHAnsi"/>
            <w:bCs/>
            <w:color w:val="000000"/>
            <w:sz w:val="28"/>
            <w:szCs w:val="28"/>
          </w:rPr>
          <w:t xml:space="preserve">деяния</w:t>
        </w:r>
      </w:hyperlink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, влечет наложение административного штрафа на граждан в размере от пяти тысяч до пятнадцати тысяч рублей</w:t>
      </w: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; </w:t>
      </w: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на должностных лиц - от пятнадцати тысяч до тридцати тысяч рублей; на юридических лиц - от пятидесяти тысяч до ста тысяч рублей</w:t>
      </w: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;</w:t>
      </w:r>
      <w:r/>
    </w:p>
    <w:p>
      <w:pPr>
        <w:pStyle w:val="614"/>
        <w:ind w:firstLine="709"/>
        <w:jc w:val="both"/>
        <w:spacing w:beforeAutospacing="0" w:after="0" w:afterAutospacing="0"/>
        <w:shd w:val="clear" w:color="auto" w:fill="ffffff"/>
        <w:rPr>
          <w:rFonts w:ascii="PT Astra Serif" w:hAnsi="PT Astra Serif" w:cs="ArialMT" w:eastAsiaTheme="minorHAnsi"/>
          <w:bCs/>
          <w:color w:val="000000"/>
          <w:sz w:val="28"/>
          <w:szCs w:val="28"/>
        </w:rPr>
      </w:pP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3. </w:t>
      </w: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Нарушение требований законодательства в области обращения с животными, повлекшее причинение вреда жизни или здоровью граждан либо имуществу, если эти действия не содержат признако</w:t>
      </w: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в уголовно наказуемого деяния, </w:t>
      </w: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влечет наложение административного штрафа на граждан в размере от десяти тысяч до тридцати тысяч рублей</w:t>
      </w: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; на должностных лиц - от пятидесяти тысяч до ста тысяч рублей; на юридических лиц - от ста тысяч до двухсот тысяч рублей</w:t>
      </w:r>
      <w:r>
        <w:rPr>
          <w:rFonts w:ascii="PT Astra Serif" w:hAnsi="PT Astra Serif" w:cs="ArialMT" w:eastAsiaTheme="minorHAnsi"/>
          <w:bCs/>
          <w:color w:val="000000"/>
          <w:sz w:val="28"/>
          <w:szCs w:val="28"/>
        </w:rPr>
        <w:t xml:space="preserve">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Стать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ё</w:t>
      </w:r>
      <w:bookmarkStart w:id="18" w:name="_GoBack"/>
      <w:r/>
      <w:bookmarkEnd w:id="18"/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й 8.54 Кодекса Российской Федерации об административных правонарушениях за н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есоблюдение требований к осуществлению деятельности по обращению с животными владельцами приютов для животных и деятельности по обращению с животными без владельцев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предусмотрена административная ответственность: 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1.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 Несоблюдение </w:t>
      </w:r>
      <w:hyperlink r:id="rId16" w:tooltip="https://www.consultant.ru/document/cons_doc_LAW_34661/181dcec75dc4e81a8696f8b6e48841d973109123/" w:history="1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 xml:space="preserve">требований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 к осуществлению деятельности по обращению с животными владельцами приютов для животных -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влечет предупреждение или наложение административного штрафа на должностных лиц в размере от пяти тысяч до пятнадцати тысяч рублей; на юридических лиц - от пятнадцати тысяч до тридцати тысяч рублей.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2. 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Несоблюдение </w:t>
      </w:r>
      <w:hyperlink r:id="rId17" w:tooltip="https://www.consultant.ru/document/cons_doc_LAW_452891/e0c57624e2c52a0d15b48405026a7bec61a9e900/#dst100144" w:anchor="dst100144" w:history="1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 xml:space="preserve">требований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 к осуществлению деятельности по обращению с животными без владельцев -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влечет предупреждение или наложение административного штрафа на граждан в размере от трех тысяч до пяти тысяч рублей; на должностных лиц - от пяти тысяч до пятнадцати тысяч рублей; на юридических лиц - от тридцати тысяч до пятидесяти тысяч рублей.</w:t>
      </w:r>
      <w:r/>
    </w:p>
    <w:p>
      <w:pPr>
        <w:pStyle w:val="614"/>
        <w:ind w:firstLine="706"/>
        <w:jc w:val="center"/>
        <w:spacing w:after="0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 w:cs="PT Astra Serif"/>
          <w:b/>
          <w:sz w:val="26"/>
          <w:szCs w:val="26"/>
        </w:rPr>
        <w:t xml:space="preserve">И</w:t>
      </w:r>
      <w:r>
        <w:rPr>
          <w:rFonts w:ascii="PT Astra Serif" w:hAnsi="PT Astra Serif" w:cs="PT Astra Serif"/>
          <w:b/>
          <w:sz w:val="26"/>
          <w:szCs w:val="26"/>
        </w:rPr>
        <w:t xml:space="preserve">зменения </w:t>
      </w:r>
      <w:r>
        <w:rPr>
          <w:rFonts w:ascii="PT Astra Serif" w:hAnsi="PT Astra Serif" w:cs="PT Astra Serif"/>
          <w:b/>
          <w:sz w:val="26"/>
          <w:szCs w:val="26"/>
        </w:rPr>
        <w:t xml:space="preserve">законодательств</w:t>
      </w:r>
      <w:r>
        <w:rPr>
          <w:rFonts w:ascii="PT Astra Serif" w:hAnsi="PT Astra Serif" w:cs="PT Astra Serif"/>
          <w:b/>
          <w:sz w:val="26"/>
          <w:szCs w:val="26"/>
        </w:rPr>
        <w:t xml:space="preserve">а</w:t>
      </w:r>
      <w:r>
        <w:rPr>
          <w:rFonts w:ascii="PT Astra Serif" w:hAnsi="PT Astra Serif" w:cs="PT Astra Serif"/>
          <w:b/>
          <w:sz w:val="26"/>
          <w:szCs w:val="26"/>
        </w:rPr>
        <w:t xml:space="preserve"> Российской Федерации в сфере ответственного обращения с животными.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30 ноября 2024 года Федеральным законом от 30.11.2024 № 440-ФЗ внесены изменения в статью 8.52 Кодекса Российской Федерации об административных правонарушениях, а именно 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в </w:t>
      </w:r>
      <w:hyperlink r:id="rId18" w:tooltip="https://www.consultant.ru/document/cons_doc_LAW_491944/" w:history="1">
        <w:r>
          <w:rPr>
            <w:rFonts w:ascii="PT Astra Serif" w:hAnsi="PT Astra Serif" w:cs="ArialMT"/>
            <w:bCs/>
            <w:color w:val="000000"/>
            <w:sz w:val="28"/>
            <w:szCs w:val="28"/>
          </w:rPr>
          <w:t xml:space="preserve">абзаце первом части 1</w:t>
        </w:r>
      </w:hyperlink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 слова "за исключением требований к содержанию домашних животных, а также" заменить словами "а также требований к содержанию домашних животных, за исключением"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С 11 декабря 2024 года предусмотрена административная ответственность за несоблюдение следующих требований: 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1. 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При содержании домашних животных их владельцам необходимо соблюдать требования к содержанию животных, а также права и законные интересы лиц, проживающих в многоквартирном доме, в помещениях которого содержатся домашние животные.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2. 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Не допускается использование домашних животных в предпринимательской деятельности, за исключением случаев, установленных Правительством Российской Федерации.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3. 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Предельное кол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ичество домашних животных в местах содержания животных определяется исходя из возможности владельца обеспечивать животным условия, соответствующие ветеринарным нормам и правилам, а также с учетом соблюдения санитарно-эпидемиологических правил и нормативов.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4. 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Выгул домашних животных должен осуществляться при условии обязательного обеспечения безопасности граждан, животных, сохранности имущества физических лиц и юридических лиц.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5. 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При выгуле домашнего животного, за исключением собаки-проводника, сопровождающей инвалида по зрению, необходимо соблюдать следующие требования: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1)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исключать возможность свободного, неконтролируемого передвижения животного вне мест, разрешенных решением органа местного самоуправления для выгула животных;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2)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обеспечивать уборку продуктов жизнедеятельности животного в местах и на территориях общего пользования;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3)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не допускать выгул животного вне мест, разрешенных решением органа местного самоуправления для выгула животных, и соблюдать иные требования к его выгулу.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6. 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Выгул потенциально опасной собаки без намордника и поводка независимо от места выгула запрещается, за исключением случаев, если потенциаль</w:t>
      </w:r>
      <w:r>
        <w:rPr>
          <w:rFonts w:ascii="PT Astra Serif" w:hAnsi="PT Astra Serif" w:cs="ArialMT"/>
          <w:bCs/>
          <w:color w:val="000000"/>
          <w:sz w:val="28"/>
          <w:szCs w:val="28"/>
        </w:rPr>
        <w:t xml:space="preserve">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наличии этой собаки должна быть сделана предупреждающая надпись при входе на данную территорию.</w:t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</w:r>
      <w:r/>
    </w:p>
    <w:p>
      <w:pPr>
        <w:ind w:firstLine="708"/>
        <w:jc w:val="both"/>
        <w:spacing w:after="0" w:line="240" w:lineRule="auto"/>
        <w:rPr>
          <w:rFonts w:ascii="PT Astra Serif" w:hAnsi="PT Astra Serif" w:cs="ArialMT"/>
          <w:bCs/>
          <w:color w:val="000000"/>
          <w:sz w:val="28"/>
          <w:szCs w:val="28"/>
        </w:rPr>
      </w:pPr>
      <w:r>
        <w:rPr>
          <w:rFonts w:ascii="PT Astra Serif" w:hAnsi="PT Astra Serif" w:cs="ArialMT"/>
          <w:bCs/>
          <w:color w:val="000000"/>
          <w:sz w:val="28"/>
          <w:szCs w:val="28"/>
        </w:rPr>
      </w:r>
      <w:r/>
    </w:p>
    <w:sectPr>
      <w:footnotePr/>
      <w:endnotePr/>
      <w:type w:val="nextPage"/>
      <w:pgSz w:w="11906" w:h="16838" w:orient="portrait"/>
      <w:pgMar w:top="1134" w:right="850" w:bottom="1134" w:left="1134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MT">
    <w:panose1 w:val="020B0604020202020204"/>
  </w:font>
  <w:font w:name="Calibri">
    <w:panose1 w:val="020F0502020204030204"/>
  </w:font>
  <w:font w:name="SimSun">
    <w:panose1 w:val="02010600030101010101"/>
  </w:font>
  <w:font w:name="Tahoma">
    <w:panose1 w:val="020B0604030504040204"/>
  </w:font>
  <w:font w:name="Arial-BoldMT">
    <w:panose1 w:val="020B0604020202020204"/>
  </w:font>
  <w:font w:name="Noto Sans Devanagari">
    <w:panose1 w:val="020B0502040504020204"/>
  </w:font>
  <w:font w:name="PT Astra Serif">
    <w:panose1 w:val="020A0603040505020204"/>
  </w:font>
  <w:font w:name="Times New Roman">
    <w:panose1 w:val="02020603050405020304"/>
  </w:font>
  <w:font w:name="Mangal">
    <w:panose1 w:val="020405030502010202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0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0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00"/>
    <w:link w:val="1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00"/>
    <w:link w:val="599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0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0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0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0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0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character" w:styleId="34">
    <w:name w:val="Title Char"/>
    <w:basedOn w:val="600"/>
    <w:link w:val="608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00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00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00"/>
    <w:link w:val="43"/>
    <w:uiPriority w:val="99"/>
  </w:style>
  <w:style w:type="character" w:styleId="46">
    <w:name w:val="Caption Char"/>
    <w:basedOn w:val="611"/>
    <w:link w:val="43"/>
    <w:uiPriority w:val="99"/>
  </w:style>
  <w:style w:type="table" w:styleId="48">
    <w:name w:val="Table Grid Light"/>
    <w:basedOn w:val="60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00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00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  <w:pPr>
      <w:spacing w:after="200" w:line="276" w:lineRule="auto"/>
    </w:pPr>
  </w:style>
  <w:style w:type="paragraph" w:styleId="599">
    <w:name w:val="Heading 4"/>
    <w:basedOn w:val="598"/>
    <w:link w:val="622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600" w:default="1">
    <w:name w:val="Default Paragraph Font"/>
    <w:uiPriority w:val="1"/>
    <w:semiHidden/>
    <w:unhideWhenUsed/>
  </w:style>
  <w:style w:type="table" w:styleId="60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2" w:default="1">
    <w:name w:val="No List"/>
    <w:uiPriority w:val="99"/>
    <w:semiHidden/>
    <w:unhideWhenUsed/>
  </w:style>
  <w:style w:type="character" w:styleId="603" w:customStyle="1">
    <w:name w:val="blk"/>
    <w:basedOn w:val="600"/>
    <w:qFormat/>
  </w:style>
  <w:style w:type="character" w:styleId="604">
    <w:name w:val="Strong"/>
    <w:basedOn w:val="600"/>
    <w:uiPriority w:val="22"/>
    <w:qFormat/>
    <w:rPr>
      <w:b/>
      <w:bCs/>
    </w:rPr>
  </w:style>
  <w:style w:type="character" w:styleId="605" w:customStyle="1">
    <w:name w:val="Выделение жирным"/>
    <w:qFormat/>
    <w:rPr>
      <w:b/>
      <w:bCs/>
    </w:rPr>
  </w:style>
  <w:style w:type="character" w:styleId="606" w:customStyle="1">
    <w:name w:val="Интернет-ссылка"/>
    <w:basedOn w:val="600"/>
    <w:uiPriority w:val="99"/>
    <w:unhideWhenUsed/>
    <w:rPr>
      <w:color w:val="0000ff" w:themeColor="hyperlink"/>
      <w:u w:val="single"/>
    </w:rPr>
  </w:style>
  <w:style w:type="character" w:styleId="607" w:customStyle="1">
    <w:name w:val="nobr"/>
    <w:basedOn w:val="600"/>
    <w:qFormat/>
  </w:style>
  <w:style w:type="paragraph" w:styleId="608">
    <w:name w:val="Title"/>
    <w:basedOn w:val="598"/>
    <w:next w:val="609"/>
    <w:qFormat/>
    <w:pPr>
      <w:keepNext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609">
    <w:name w:val="Body Text"/>
    <w:basedOn w:val="598"/>
    <w:pPr>
      <w:spacing w:after="140"/>
    </w:pPr>
  </w:style>
  <w:style w:type="paragraph" w:styleId="610">
    <w:name w:val="List"/>
    <w:basedOn w:val="609"/>
    <w:rPr>
      <w:rFonts w:ascii="PT Astra Serif" w:hAnsi="PT Astra Serif" w:cs="Noto Sans Devanagari"/>
    </w:rPr>
  </w:style>
  <w:style w:type="paragraph" w:styleId="611">
    <w:name w:val="Caption"/>
    <w:basedOn w:val="598"/>
    <w:qFormat/>
    <w:pPr>
      <w:spacing w:before="120" w:after="120"/>
      <w:suppressLineNumbers/>
    </w:pPr>
    <w:rPr>
      <w:rFonts w:ascii="PT Astra Serif" w:hAnsi="PT Astra Serif" w:cs="Noto Sans Devanagari"/>
      <w:i/>
      <w:iCs/>
      <w:sz w:val="24"/>
      <w:szCs w:val="24"/>
    </w:rPr>
  </w:style>
  <w:style w:type="paragraph" w:styleId="612">
    <w:name w:val="index heading"/>
    <w:basedOn w:val="598"/>
    <w:qFormat/>
    <w:pPr>
      <w:suppressLineNumbers/>
    </w:pPr>
    <w:rPr>
      <w:rFonts w:ascii="PT Astra Serif" w:hAnsi="PT Astra Serif" w:cs="Noto Sans Devanagari"/>
    </w:rPr>
  </w:style>
  <w:style w:type="paragraph" w:styleId="613" w:customStyle="1">
    <w:name w:val="Text body"/>
    <w:basedOn w:val="598"/>
    <w:qFormat/>
    <w:pPr>
      <w:spacing w:after="120" w:line="240" w:lineRule="auto"/>
      <w:widowControl w:val="off"/>
    </w:pPr>
    <w:rPr>
      <w:rFonts w:ascii="Arial" w:hAnsi="Arial" w:eastAsia="SimSun" w:cs="Mangal"/>
      <w:sz w:val="21"/>
      <w:szCs w:val="24"/>
      <w:lang w:eastAsia="zh-CN" w:bidi="hi-IN"/>
    </w:rPr>
  </w:style>
  <w:style w:type="paragraph" w:styleId="614">
    <w:name w:val="Normal (Web)"/>
    <w:basedOn w:val="598"/>
    <w:uiPriority w:val="99"/>
    <w:unhideWhenUsed/>
    <w:qFormat/>
    <w:pPr>
      <w:spacing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15" w:customStyle="1">
    <w:name w:val="Без интервала1"/>
    <w:qFormat/>
    <w:pPr>
      <w:spacing w:after="200" w:line="276" w:lineRule="auto"/>
      <w:widowControl w:val="off"/>
    </w:pPr>
    <w:rPr>
      <w:rFonts w:eastAsia="SimSun" w:cs="Tahoma"/>
      <w:lang w:eastAsia="ar-SA"/>
    </w:rPr>
  </w:style>
  <w:style w:type="table" w:styleId="616">
    <w:name w:val="Table Grid"/>
    <w:basedOn w:val="60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17" w:customStyle="1">
    <w:name w:val="ConsPlusNormal"/>
    <w:qFormat/>
    <w:pPr>
      <w:widowControl w:val="off"/>
    </w:pPr>
    <w:rPr>
      <w:rFonts w:ascii="Calibri" w:hAnsi="Calibri" w:eastAsia="Times New Roman" w:cs="Calibri"/>
      <w:szCs w:val="20"/>
      <w:lang w:eastAsia="ru-RU"/>
    </w:rPr>
  </w:style>
  <w:style w:type="character" w:styleId="618">
    <w:name w:val="Hyperlink"/>
    <w:basedOn w:val="600"/>
    <w:uiPriority w:val="99"/>
    <w:semiHidden/>
    <w:unhideWhenUsed/>
    <w:rPr>
      <w:color w:val="0000ff"/>
      <w:u w:val="single"/>
    </w:rPr>
  </w:style>
  <w:style w:type="paragraph" w:styleId="619" w:customStyle="1">
    <w:name w:val="ConsPlusTitle"/>
    <w:uiPriority w:val="99"/>
    <w:pPr>
      <w:widowControl w:val="off"/>
    </w:pPr>
    <w:rPr>
      <w:rFonts w:ascii="Arial" w:hAnsi="Arial" w:cs="Arial" w:eastAsiaTheme="minorEastAsia"/>
      <w:b/>
      <w:bCs/>
      <w:sz w:val="20"/>
      <w:szCs w:val="20"/>
      <w:lang w:eastAsia="ru-RU"/>
    </w:rPr>
  </w:style>
  <w:style w:type="paragraph" w:styleId="620" w:customStyle="1">
    <w:name w:val="no-indent"/>
    <w:basedOn w:val="59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21" w:customStyle="1">
    <w:name w:val="align_center"/>
    <w:basedOn w:val="59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22" w:customStyle="1">
    <w:name w:val="Заголовок 4 Знак"/>
    <w:basedOn w:val="600"/>
    <w:link w:val="599"/>
    <w:uiPriority w:val="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623" w:customStyle="1">
    <w:name w:val="formattext"/>
    <w:basedOn w:val="59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login.consultant.ru/link/?req=doc&amp;demo=1&amp;base=LAW&amp;n=327714&amp;date=14.12.2023&amp;dst=100008&amp;field=134" TargetMode="External"/><Relationship Id="rId9" Type="http://schemas.openxmlformats.org/officeDocument/2006/relationships/hyperlink" Target="http://www.consultant.ru/document/cons_doc_LAW_341987/f2d4cb4e0b9a88b0a3d7427ec428b96528113cbe/" TargetMode="External"/><Relationship Id="rId10" Type="http://schemas.openxmlformats.org/officeDocument/2006/relationships/hyperlink" Target="http://www.consultant.ru/document/cons_doc_LAW_341987/f2d4cb4e0b9a88b0a3d7427ec428b96528113cbe/" TargetMode="External"/><Relationship Id="rId11" Type="http://schemas.openxmlformats.org/officeDocument/2006/relationships/hyperlink" Target="consultantplus://offline/ref=F9039063188E0BF7C5B16DA1D5BAD0C67045F38306E8E8978439988CF7D3B175B462027DBCC80A9DE766F9BE540DA1F8C66FDD354F3B1C28J1D2E" TargetMode="External"/><Relationship Id="rId12" Type="http://schemas.openxmlformats.org/officeDocument/2006/relationships/hyperlink" Target="consultantplus://offline/ref=F9039063188E0BF7C5B16DA1D5BAD0C67045F38306E8E8978439988CF7D3B175B462027DBCC80A9CE766F9BE540DA1F8C66FDD354F3B1C28J1D2E" TargetMode="External"/><Relationship Id="rId13" Type="http://schemas.openxmlformats.org/officeDocument/2006/relationships/hyperlink" Target="https://www.consultant.ru/document/cons_doc_LAW_482855/b2d155e355a125bbe89726402f1c374dcdd762f4/" TargetMode="External"/><Relationship Id="rId14" Type="http://schemas.openxmlformats.org/officeDocument/2006/relationships/hyperlink" Target="https://www.consultant.ru/document/cons_doc_LAW_452891/9b656b07c1d9f2c94436978c08864fb879933301/" TargetMode="External"/><Relationship Id="rId15" Type="http://schemas.openxmlformats.org/officeDocument/2006/relationships/hyperlink" Target="https://www.consultant.ru/document/cons_doc_LAW_462992/6e2829afe7edbdbbe54047b79b4784ca6cc45d53/" TargetMode="External"/><Relationship Id="rId16" Type="http://schemas.openxmlformats.org/officeDocument/2006/relationships/hyperlink" Target="https://www.consultant.ru/document/cons_doc_LAW_34661/181dcec75dc4e81a8696f8b6e48841d973109123/" TargetMode="External"/><Relationship Id="rId17" Type="http://schemas.openxmlformats.org/officeDocument/2006/relationships/hyperlink" Target="https://www.consultant.ru/document/cons_doc_LAW_452891/e0c57624e2c52a0d15b48405026a7bec61a9e900/" TargetMode="External"/><Relationship Id="rId18" Type="http://schemas.openxmlformats.org/officeDocument/2006/relationships/hyperlink" Target="https://www.consultant.ru/document/cons_doc_LAW_491944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Владимировна Воднева</dc:creator>
  <dc:description/>
  <dc:language>ru-RU</dc:language>
  <cp:revision>5</cp:revision>
  <dcterms:created xsi:type="dcterms:W3CDTF">2025-01-29T07:24:00Z</dcterms:created>
  <dcterms:modified xsi:type="dcterms:W3CDTF">2025-03-24T08:37:35Z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