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2"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</w:rPr>
      </w:r>
      <w:r/>
    </w:p>
    <w:p>
      <w:pPr>
        <w:pStyle w:val="618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18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10185" w:type="dxa"/>
        <w:tblInd w:w="100" w:type="dxa"/>
        <w:tblBorders>
          <w:top w:val="none" w:color="000000" w:sz="0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none" w:color="000000" w:sz="0" w:space="0"/>
        </w:tblBorders>
        <w:tblLayout w:type="autofit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2"/>
        <w:gridCol w:w="2433"/>
        <w:gridCol w:w="2865"/>
        <w:gridCol w:w="417"/>
        <w:gridCol w:w="1503"/>
        <w:gridCol w:w="165"/>
      </w:tblGrid>
      <w:tr>
        <w:trPr/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802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14</w:t>
            </w:r>
            <w:r>
              <w:rPr>
                <w:rFonts w:ascii="PT Astra Serif" w:hAnsi="PT Astra Serif"/>
                <w:lang w:val="ru-RU"/>
              </w:rPr>
              <w:t xml:space="preserve">.03.2025</w:t>
            </w:r>
            <w:r/>
          </w:p>
        </w:tc>
        <w:tc>
          <w:tcPr>
            <w:gridSpan w:val="2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5298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417" w:type="dxa"/>
            <w:vAlign w:val="top"/>
            <w:textDirection w:val="lrTb"/>
            <w:noWrap w:val="false"/>
          </w:tcPr>
          <w:p>
            <w:pPr>
              <w:pStyle w:val="618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1503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1-р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88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</w:rPr>
              <w:t xml:space="preserve">Об установлении ограничительных мероприятий (карантина) по инфекционной анемии лошадей на отдельной территории </w:t>
            </w:r>
            <w:r>
              <w:rPr>
                <w:rFonts w:ascii="PT Astra Serif" w:hAnsi="PT Astra Serif"/>
              </w:rPr>
              <w:t xml:space="preserve">Парабель</w:t>
            </w:r>
            <w:r>
              <w:rPr>
                <w:rFonts w:ascii="PT Astra Serif" w:hAnsi="PT Astra Serif"/>
              </w:rPr>
              <w:t xml:space="preserve">ского</w:t>
            </w:r>
            <w:r>
              <w:rPr>
                <w:rFonts w:ascii="PT Astra Serif" w:hAnsi="PT Astra Serif"/>
              </w:rPr>
              <w:t xml:space="preserve"> района</w:t>
            </w:r>
            <w:r>
              <w:rPr>
                <w:rFonts w:ascii="PT Astra Serif" w:hAnsi="PT Astra Serif"/>
              </w:rPr>
              <w:t xml:space="preserve"> Томской области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4" w:space="0"/>
              <w:bottom w:val="none" w:color="000000" w:sz="4" w:space="0"/>
            </w:tcBorders>
            <w:tcW w:w="5235" w:type="dxa"/>
            <w:vAlign w:val="top"/>
            <w:textDirection w:val="lrTb"/>
            <w:noWrap w:val="false"/>
          </w:tcPr>
          <w:p>
            <w:pPr>
              <w:pStyle w:val="621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bottom w:val="none" w:color="000000" w:sz="4" w:space="0"/>
            </w:tcBorders>
            <w:tcW w:w="4950" w:type="dxa"/>
            <w:vAlign w:val="top"/>
            <w:textDirection w:val="lrTb"/>
            <w:noWrap w:val="false"/>
          </w:tcPr>
          <w:p>
            <w:pPr>
              <w:pStyle w:val="621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18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18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В соответствии со статьями 3</w:t>
      </w:r>
      <w:r>
        <w:rPr>
          <w:rFonts w:ascii="PT Astra Serif" w:hAnsi="PT Astra Serif"/>
          <w:szCs w:val="28"/>
          <w:vertAlign w:val="superscript"/>
        </w:rPr>
        <w:t xml:space="preserve">1</w:t>
      </w:r>
      <w:r>
        <w:rPr>
          <w:rFonts w:ascii="PT Astra Serif" w:hAnsi="PT Astra Serif"/>
          <w:szCs w:val="28"/>
        </w:rPr>
        <w:t xml:space="preserve">, 17 Закона Российской Федерации от 14 м</w:t>
      </w:r>
      <w:r>
        <w:rPr>
          <w:rFonts w:ascii="PT Astra Serif" w:hAnsi="PT Astra Serif"/>
          <w:szCs w:val="28"/>
        </w:rPr>
        <w:t xml:space="preserve">ая 1993 года №4979-1 «О ветеринарии», Приказом Минсельхоза России от 19.12.2011 № 476 «Об утверждении перечня заразных, в том числе особо опасных болезней животных, по которым могут устанавливаться ограничительные мероприятия (карантин)», Ветеринарными пра</w:t>
      </w:r>
      <w:r>
        <w:rPr>
          <w:rFonts w:ascii="PT Astra Serif" w:hAnsi="PT Astra Serif"/>
          <w:szCs w:val="28"/>
        </w:rPr>
        <w:t xml:space="preserve">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инфекционной анемии лошадей, утвержденными пр</w:t>
      </w:r>
      <w:r>
        <w:rPr>
          <w:rFonts w:ascii="PT Astra Serif" w:hAnsi="PT Astra Serif"/>
          <w:szCs w:val="28"/>
        </w:rPr>
        <w:t xml:space="preserve">иказом Минсельхоза России от </w:t>
      </w:r>
      <w:r>
        <w:rPr>
          <w:rFonts w:ascii="PT Astra Serif" w:hAnsi="PT Astra Serif"/>
          <w:szCs w:val="28"/>
        </w:rPr>
        <w:t xml:space="preserve">26.08.2021 №593</w:t>
      </w:r>
      <w:r>
        <w:rPr>
          <w:rFonts w:ascii="PT Astra Serif" w:hAnsi="PT Astra Serif"/>
          <w:szCs w:val="28"/>
        </w:rPr>
        <w:t xml:space="preserve">, Законом Томской области </w:t>
        <w:br w:type="textWrapping" w:clear="all"/>
        <w:t xml:space="preserve">от 12 октября 2005 года №182-ОЗ «Об обеспечении эпизоотического и ветеринарно-санитарного благополучия в Томской области», постановлением Губерн</w:t>
      </w:r>
      <w:r>
        <w:rPr>
          <w:rFonts w:ascii="PT Astra Serif" w:hAnsi="PT Astra Serif"/>
          <w:szCs w:val="28"/>
        </w:rPr>
        <w:t xml:space="preserve">атора Томской области от 11.09.</w:t>
      </w:r>
      <w:r>
        <w:rPr>
          <w:rFonts w:ascii="PT Astra Serif" w:hAnsi="PT Astra Serif"/>
          <w:szCs w:val="28"/>
        </w:rPr>
        <w:t xml:space="preserve">2018 года № 83 «Об утверждении положения </w:t>
        <w:br w:type="textWrapping" w:clear="all"/>
        <w:t xml:space="preserve">о Департаменте ветеринарии Томской области» на основании </w:t>
      </w:r>
      <w:r>
        <w:rPr>
          <w:rFonts w:ascii="PT Astra Serif" w:hAnsi="PT Astra Serif"/>
          <w:szCs w:val="28"/>
        </w:rPr>
        <w:t xml:space="preserve">письма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начальника</w:t>
      </w:r>
      <w:r>
        <w:rPr>
          <w:rFonts w:ascii="PT Astra Serif" w:hAnsi="PT Astra Serif"/>
          <w:szCs w:val="28"/>
        </w:rPr>
        <w:t xml:space="preserve"> ОГА</w:t>
      </w:r>
      <w:r>
        <w:rPr>
          <w:rFonts w:ascii="PT Astra Serif" w:hAnsi="PT Astra Serif"/>
          <w:szCs w:val="28"/>
        </w:rPr>
        <w:t xml:space="preserve">У «</w:t>
      </w:r>
      <w:r>
        <w:rPr>
          <w:rFonts w:ascii="PT Astra Serif" w:hAnsi="PT Astra Serif"/>
          <w:szCs w:val="28"/>
        </w:rPr>
        <w:t xml:space="preserve">Парабельское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р</w:t>
      </w:r>
      <w:r>
        <w:rPr>
          <w:rFonts w:ascii="PT Astra Serif" w:hAnsi="PT Astra Serif"/>
          <w:szCs w:val="28"/>
        </w:rPr>
        <w:t xml:space="preserve">айонное ветеринарное управление</w:t>
      </w:r>
      <w:r>
        <w:rPr>
          <w:rFonts w:ascii="PT Astra Serif" w:hAnsi="PT Astra Serif"/>
          <w:szCs w:val="28"/>
        </w:rPr>
        <w:t xml:space="preserve">» </w:t>
      </w:r>
      <w:r>
        <w:rPr>
          <w:rFonts w:ascii="PT Astra Serif" w:hAnsi="PT Astra Serif"/>
          <w:szCs w:val="28"/>
        </w:rPr>
        <w:t xml:space="preserve">от </w:t>
      </w:r>
      <w:r>
        <w:rPr>
          <w:rFonts w:ascii="PT Astra Serif" w:hAnsi="PT Astra Serif"/>
          <w:szCs w:val="28"/>
        </w:rPr>
        <w:t xml:space="preserve">1</w:t>
      </w:r>
      <w:r>
        <w:rPr>
          <w:rFonts w:ascii="PT Astra Serif" w:hAnsi="PT Astra Serif"/>
          <w:szCs w:val="28"/>
        </w:rPr>
        <w:t xml:space="preserve">4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0</w:t>
      </w:r>
      <w:r>
        <w:rPr>
          <w:rFonts w:ascii="PT Astra Serif" w:hAnsi="PT Astra Serif"/>
          <w:szCs w:val="28"/>
        </w:rPr>
        <w:t xml:space="preserve">3</w:t>
      </w:r>
      <w:r>
        <w:rPr>
          <w:rFonts w:ascii="PT Astra Serif" w:hAnsi="PT Astra Serif"/>
          <w:szCs w:val="28"/>
        </w:rPr>
        <w:t xml:space="preserve">.20</w:t>
      </w:r>
      <w:r>
        <w:rPr>
          <w:rFonts w:ascii="PT Astra Serif" w:hAnsi="PT Astra Serif"/>
          <w:szCs w:val="28"/>
        </w:rPr>
        <w:t xml:space="preserve">2</w:t>
      </w:r>
      <w:r>
        <w:rPr>
          <w:rFonts w:ascii="PT Astra Serif" w:hAnsi="PT Astra Serif"/>
          <w:szCs w:val="28"/>
        </w:rPr>
        <w:t xml:space="preserve">5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№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29</w:t>
      </w:r>
      <w:r>
        <w:rPr>
          <w:rFonts w:ascii="PT Astra Serif" w:hAnsi="PT Astra Serif"/>
          <w:szCs w:val="28"/>
        </w:rPr>
        <w:t xml:space="preserve">  </w:t>
      </w:r>
      <w:r>
        <w:rPr>
          <w:rFonts w:ascii="PT Astra Serif" w:hAnsi="PT Astra Serif"/>
        </w:rPr>
      </w:r>
      <w:r/>
    </w:p>
    <w:p>
      <w:pPr>
        <w:pStyle w:val="607"/>
        <w:ind w:firstLine="708"/>
        <w:jc w:val="both"/>
        <w:rPr>
          <w:rFonts w:ascii="PT Astra Serif" w:hAnsi="PT Astra Serif" w:cs="Times New Roman"/>
          <w:sz w:val="28"/>
          <w:szCs w:val="28"/>
        </w:rPr>
        <w:outlineLvl w:val="0"/>
      </w:pPr>
      <w:r>
        <w:rPr>
          <w:rFonts w:ascii="PT Astra Serif" w:hAnsi="PT Astra Serif" w:cs="Times New Roman"/>
          <w:sz w:val="28"/>
          <w:szCs w:val="28"/>
        </w:rPr>
        <w:t xml:space="preserve">1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  <w:t xml:space="preserve"> Установить 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с 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1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4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.0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3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.202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5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ограничительные мероприятия (карантин) по инфекционной анемии лошадей </w:t>
      </w:r>
      <w:r>
        <w:rPr>
          <w:rFonts w:ascii="PT Astra Serif" w:hAnsi="PT Astra Serif" w:cs="Times New Roman"/>
          <w:sz w:val="28"/>
          <w:szCs w:val="28"/>
        </w:rPr>
        <w:t xml:space="preserve">(далее -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ИНАН) </w:t>
      </w:r>
      <w:r>
        <w:rPr>
          <w:rFonts w:ascii="PT Astra Serif" w:hAnsi="PT Astra Serif" w:cs="Times New Roman"/>
          <w:sz w:val="28"/>
          <w:szCs w:val="28"/>
        </w:rPr>
        <w:t xml:space="preserve">на отдельной территории </w:t>
      </w:r>
      <w:r>
        <w:rPr>
          <w:rFonts w:ascii="PT Astra Serif" w:hAnsi="PT Astra Serif" w:cs="Times New Roman"/>
          <w:sz w:val="28"/>
          <w:szCs w:val="28"/>
        </w:rPr>
        <w:t xml:space="preserve">Парабельского</w:t>
      </w:r>
      <w:r>
        <w:rPr>
          <w:rFonts w:ascii="PT Astra Serif" w:hAnsi="PT Astra Serif" w:cs="Times New Roman"/>
          <w:sz w:val="28"/>
          <w:szCs w:val="28"/>
        </w:rPr>
        <w:t xml:space="preserve"> района Томской </w:t>
      </w:r>
      <w:r>
        <w:rPr>
          <w:rFonts w:ascii="PT Astra Serif" w:hAnsi="PT Astra Serif" w:cs="Times New Roman"/>
          <w:sz w:val="28"/>
          <w:szCs w:val="28"/>
        </w:rPr>
        <w:t xml:space="preserve">области, признав неблагополучным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крестьянско-фермерское хозяйство Лебедева Андрея Ивановича</w:t>
      </w:r>
      <w:r>
        <w:rPr>
          <w:rFonts w:ascii="PT Astra Serif" w:hAnsi="PT Astra Serif" w:cs="Times New Roman"/>
          <w:sz w:val="28"/>
          <w:szCs w:val="28"/>
        </w:rPr>
        <w:t xml:space="preserve">, расположенное по адресу: Томская область, </w:t>
      </w:r>
      <w:r>
        <w:rPr>
          <w:rFonts w:ascii="PT Astra Serif" w:hAnsi="PT Astra Serif" w:cs="Times New Roman"/>
          <w:sz w:val="28"/>
          <w:szCs w:val="28"/>
        </w:rPr>
        <w:t xml:space="preserve">Парабельский</w:t>
      </w:r>
      <w:r>
        <w:rPr>
          <w:rFonts w:ascii="PT Astra Serif" w:hAnsi="PT Astra Serif" w:cs="Times New Roman"/>
          <w:sz w:val="28"/>
          <w:szCs w:val="28"/>
        </w:rPr>
        <w:t xml:space="preserve"> район, </w:t>
      </w:r>
      <w:r>
        <w:rPr>
          <w:rFonts w:ascii="PT Astra Serif" w:hAnsi="PT Astra Serif" w:cs="Times New Roman"/>
          <w:sz w:val="28"/>
          <w:szCs w:val="28"/>
        </w:rPr>
        <w:t xml:space="preserve">д. Бугры, в границах земель ТОО «Бугринское» (58.685133 81.468828),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далее </w:t>
      </w:r>
      <w:r>
        <w:rPr>
          <w:rFonts w:ascii="PT Astra Serif" w:hAnsi="PT Astra Serif" w:cs="Times New Roman"/>
          <w:sz w:val="28"/>
          <w:szCs w:val="28"/>
        </w:rPr>
        <w:t xml:space="preserve">–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неблагополучное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КФХ</w:t>
      </w:r>
      <w:r>
        <w:rPr>
          <w:rFonts w:ascii="PT Astra Serif" w:hAnsi="PT Astra Serif" w:cs="Times New Roman"/>
          <w:sz w:val="28"/>
          <w:szCs w:val="28"/>
        </w:rPr>
        <w:t xml:space="preserve">. 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607"/>
        <w:ind w:firstLine="708"/>
        <w:jc w:val="both"/>
        <w:rPr>
          <w:rFonts w:ascii="PT Astra Serif" w:hAnsi="PT Astra Serif"/>
        </w:rPr>
        <w:outlineLvl w:val="0"/>
      </w:pPr>
      <w:r>
        <w:rPr>
          <w:rFonts w:ascii="PT Astra Serif" w:hAnsi="PT Astra Serif" w:cs="Times New Roman"/>
          <w:sz w:val="28"/>
          <w:szCs w:val="28"/>
        </w:rPr>
        <w:t xml:space="preserve">2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  <w:t xml:space="preserve"> Установить границы:</w:t>
      </w:r>
      <w:r>
        <w:rPr>
          <w:rFonts w:ascii="PT Astra Serif" w:hAnsi="PT Astra Serif"/>
        </w:rPr>
      </w:r>
      <w:r/>
    </w:p>
    <w:p>
      <w:pPr>
        <w:pStyle w:val="607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1</w:t>
      </w:r>
      <w:r>
        <w:rPr>
          <w:rFonts w:ascii="PT Astra Serif" w:hAnsi="PT Astra Serif" w:cs="Times New Roman"/>
          <w:sz w:val="28"/>
          <w:szCs w:val="28"/>
        </w:rPr>
        <w:t xml:space="preserve">) эпизоотического очага — в пределах территории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неблагополучно</w:t>
      </w:r>
      <w:r>
        <w:rPr>
          <w:rFonts w:ascii="PT Astra Serif" w:hAnsi="PT Astra Serif" w:cs="Times New Roman"/>
          <w:sz w:val="28"/>
          <w:szCs w:val="28"/>
        </w:rPr>
        <w:t xml:space="preserve">го КФ</w:t>
      </w:r>
      <w:r>
        <w:rPr>
          <w:rFonts w:ascii="PT Astra Serif" w:hAnsi="PT Astra Serif" w:cs="Times New Roman"/>
          <w:sz w:val="28"/>
          <w:szCs w:val="28"/>
        </w:rPr>
        <w:t xml:space="preserve">Х</w:t>
      </w:r>
      <w:r>
        <w:rPr>
          <w:rFonts w:ascii="PT Astra Serif" w:hAnsi="PT Astra Serif" w:cs="Times New Roman"/>
          <w:sz w:val="28"/>
          <w:szCs w:val="28"/>
        </w:rPr>
        <w:t xml:space="preserve">;</w:t>
      </w:r>
      <w:r>
        <w:rPr>
          <w:rFonts w:ascii="PT Astra Serif" w:hAnsi="PT Astra Serif"/>
        </w:rPr>
      </w:r>
      <w:r/>
    </w:p>
    <w:p>
      <w:pPr>
        <w:pStyle w:val="607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 xml:space="preserve">2</w:t>
      </w:r>
      <w:r>
        <w:rPr>
          <w:rFonts w:ascii="PT Astra Serif" w:hAnsi="PT Astra Serif" w:cs="Times New Roman"/>
          <w:sz w:val="28"/>
          <w:szCs w:val="28"/>
        </w:rPr>
        <w:t xml:space="preserve">) неблагополучного пункта —</w:t>
      </w:r>
      <w:r>
        <w:rPr>
          <w:rFonts w:ascii="PT Astra Serif" w:hAnsi="PT Astra Serif" w:cs="Times New Roman"/>
          <w:sz w:val="28"/>
          <w:szCs w:val="28"/>
        </w:rPr>
        <w:t xml:space="preserve"> в пределах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территория радиусом </w:t>
      </w:r>
      <w:r>
        <w:rPr>
          <w:rFonts w:ascii="PT Astra Serif" w:hAnsi="PT Astra Serif" w:cs="Times New Roman"/>
          <w:sz w:val="28"/>
          <w:szCs w:val="28"/>
        </w:rPr>
        <w:t xml:space="preserve">5</w:t>
      </w:r>
      <w:r>
        <w:rPr>
          <w:rFonts w:ascii="PT Astra Serif" w:hAnsi="PT Astra Serif" w:cs="Times New Roman"/>
          <w:sz w:val="28"/>
          <w:szCs w:val="28"/>
        </w:rPr>
        <w:t xml:space="preserve"> км вокруг эпизоотического очага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/>
        </w:rPr>
      </w:r>
      <w:r/>
    </w:p>
    <w:p>
      <w:pPr>
        <w:pStyle w:val="618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3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 </w:t>
      </w: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 период действия ограничительных мероприятий (карантина)</w:t>
      </w:r>
      <w:r>
        <w:rPr>
          <w:rFonts w:ascii="PT Astra Serif" w:hAnsi="PT Astra Serif"/>
          <w:szCs w:val="28"/>
        </w:rPr>
        <w:t xml:space="preserve"> у</w:t>
      </w:r>
      <w:r>
        <w:rPr>
          <w:rFonts w:ascii="PT Astra Serif" w:hAnsi="PT Astra Serif"/>
          <w:szCs w:val="28"/>
        </w:rPr>
        <w:t xml:space="preserve">становить следующие ограничения в эпизоотическом очаге:</w:t>
      </w:r>
      <w:r>
        <w:rPr>
          <w:rFonts w:ascii="PT Astra Serif" w:hAnsi="PT Astra Serif"/>
        </w:rPr>
      </w:r>
      <w:r/>
    </w:p>
    <w:p>
      <w:pPr>
        <w:pStyle w:val="618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1</w:t>
      </w:r>
      <w:r>
        <w:rPr>
          <w:rFonts w:ascii="PT Astra Serif" w:hAnsi="PT Astra Serif"/>
          <w:szCs w:val="28"/>
        </w:rPr>
        <w:t xml:space="preserve">) запретить ввод (ввоз) и вывод (вывоз) за пределы</w:t>
      </w:r>
      <w:r>
        <w:rPr>
          <w:rFonts w:ascii="PT Astra Serif" w:hAnsi="PT Astra Serif"/>
          <w:szCs w:val="28"/>
        </w:rPr>
        <w:t xml:space="preserve"> неблагополучного КФ</w:t>
      </w:r>
      <w:r>
        <w:rPr>
          <w:rFonts w:ascii="PT Astra Serif" w:hAnsi="PT Astra Serif"/>
          <w:szCs w:val="28"/>
        </w:rPr>
        <w:t xml:space="preserve">Х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восприимчивых животных</w:t>
      </w:r>
      <w:r>
        <w:rPr>
          <w:rFonts w:ascii="PT Astra Serif" w:hAnsi="PT Astra Serif"/>
          <w:szCs w:val="28"/>
        </w:rPr>
        <w:t xml:space="preserve">, за исключением вывоза на убой</w:t>
      </w:r>
      <w:r>
        <w:rPr>
          <w:rFonts w:ascii="PT Astra Serif" w:hAnsi="PT Astra Serif"/>
          <w:szCs w:val="28"/>
        </w:rPr>
        <w:t xml:space="preserve">;</w:t>
      </w:r>
      <w:r>
        <w:rPr>
          <w:rFonts w:ascii="PT Astra Serif" w:hAnsi="PT Astra Serif"/>
        </w:rPr>
      </w:r>
      <w:r/>
    </w:p>
    <w:p>
      <w:pPr>
        <w:pStyle w:val="618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2</w:t>
      </w:r>
      <w:r>
        <w:rPr>
          <w:rFonts w:ascii="PT Astra Serif" w:hAnsi="PT Astra Serif"/>
          <w:szCs w:val="28"/>
        </w:rPr>
        <w:t xml:space="preserve">) запретить перемещение и перегруппировку восприимчивых животных;</w:t>
      </w:r>
      <w:r>
        <w:rPr>
          <w:rFonts w:ascii="PT Astra Serif" w:hAnsi="PT Astra Serif"/>
        </w:rPr>
      </w:r>
      <w:r/>
    </w:p>
    <w:p>
      <w:pPr>
        <w:pStyle w:val="618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3</w:t>
      </w:r>
      <w:r>
        <w:rPr>
          <w:rFonts w:ascii="PT Astra Serif" w:hAnsi="PT Astra Serif"/>
          <w:szCs w:val="28"/>
        </w:rPr>
        <w:t xml:space="preserve">) запретить посещение территории неблагополучн</w:t>
      </w:r>
      <w:r>
        <w:rPr>
          <w:rFonts w:ascii="PT Astra Serif" w:hAnsi="PT Astra Serif"/>
          <w:szCs w:val="28"/>
        </w:rPr>
        <w:t xml:space="preserve">о</w:t>
      </w:r>
      <w:r>
        <w:rPr>
          <w:rFonts w:ascii="PT Astra Serif" w:hAnsi="PT Astra Serif"/>
          <w:szCs w:val="28"/>
        </w:rPr>
        <w:t xml:space="preserve">го </w:t>
      </w:r>
      <w:r>
        <w:rPr>
          <w:rFonts w:ascii="PT Astra Serif" w:hAnsi="PT Astra Serif"/>
          <w:szCs w:val="28"/>
        </w:rPr>
        <w:t xml:space="preserve">КФ</w:t>
      </w:r>
      <w:r>
        <w:rPr>
          <w:rFonts w:ascii="PT Astra Serif" w:hAnsi="PT Astra Serif"/>
          <w:szCs w:val="28"/>
        </w:rPr>
        <w:t xml:space="preserve">Х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посторонними лицами;</w:t>
      </w:r>
      <w:r>
        <w:rPr>
          <w:rFonts w:ascii="PT Astra Serif" w:hAnsi="PT Astra Serif"/>
        </w:rPr>
      </w:r>
      <w:r/>
    </w:p>
    <w:p>
      <w:pPr>
        <w:pStyle w:val="618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4</w:t>
      </w:r>
      <w:r>
        <w:rPr>
          <w:rFonts w:ascii="PT Astra Serif" w:hAnsi="PT Astra Serif"/>
          <w:szCs w:val="28"/>
        </w:rPr>
        <w:t xml:space="preserve">) запретить </w:t>
      </w:r>
      <w:r>
        <w:rPr>
          <w:rFonts w:ascii="PT Astra Serif" w:hAnsi="PT Astra Serif"/>
          <w:szCs w:val="28"/>
        </w:rPr>
        <w:t xml:space="preserve">вывоз</w:t>
      </w:r>
      <w:r>
        <w:rPr>
          <w:rFonts w:ascii="PT Astra Serif" w:hAnsi="PT Astra Serif"/>
          <w:szCs w:val="28"/>
        </w:rPr>
        <w:t xml:space="preserve"> продуктов убоя</w:t>
      </w:r>
      <w:r>
        <w:rPr>
          <w:rFonts w:ascii="PT Astra Serif" w:hAnsi="PT Astra Serif"/>
          <w:szCs w:val="28"/>
        </w:rPr>
        <w:t xml:space="preserve">, полученных от восприимчивых животных</w:t>
      </w:r>
      <w:r>
        <w:rPr>
          <w:rFonts w:ascii="PT Astra Serif" w:hAnsi="PT Astra Serif"/>
          <w:szCs w:val="28"/>
        </w:rPr>
        <w:t xml:space="preserve">;</w:t>
      </w:r>
      <w:r>
        <w:rPr>
          <w:rFonts w:ascii="PT Astra Serif" w:hAnsi="PT Astra Serif"/>
        </w:rPr>
      </w:r>
      <w:r/>
    </w:p>
    <w:p>
      <w:pPr>
        <w:pStyle w:val="618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5</w:t>
      </w:r>
      <w:r>
        <w:rPr>
          <w:rFonts w:ascii="PT Astra Serif" w:hAnsi="PT Astra Serif"/>
          <w:szCs w:val="28"/>
        </w:rPr>
        <w:t xml:space="preserve">) запретить вывоз кормов</w:t>
      </w:r>
      <w:r>
        <w:rPr>
          <w:rFonts w:ascii="PT Astra Serif" w:hAnsi="PT Astra Serif"/>
          <w:szCs w:val="28"/>
        </w:rPr>
        <w:t xml:space="preserve"> и инвентаря</w:t>
      </w:r>
      <w:r>
        <w:rPr>
          <w:rFonts w:ascii="PT Astra Serif" w:hAnsi="PT Astra Serif"/>
          <w:szCs w:val="28"/>
        </w:rPr>
        <w:t xml:space="preserve">, с </w:t>
      </w:r>
      <w:r>
        <w:rPr>
          <w:rFonts w:ascii="PT Astra Serif" w:hAnsi="PT Astra Serif"/>
          <w:szCs w:val="28"/>
          <w:shd w:val="clear" w:color="auto" w:fill="ffffff"/>
        </w:rPr>
        <w:t xml:space="preserve">которыми могл</w:t>
      </w:r>
      <w:r>
        <w:rPr>
          <w:rFonts w:ascii="PT Astra Serif" w:hAnsi="PT Astra Serif"/>
          <w:szCs w:val="28"/>
          <w:shd w:val="clear" w:color="auto" w:fill="ffffff"/>
        </w:rPr>
        <w:t xml:space="preserve">о</w:t>
      </w:r>
      <w:r>
        <w:rPr>
          <w:rFonts w:ascii="PT Astra Serif" w:hAnsi="PT Astra Serif"/>
          <w:szCs w:val="28"/>
          <w:shd w:val="clear" w:color="auto" w:fill="ffffff"/>
        </w:rPr>
        <w:t xml:space="preserve"> </w:t>
      </w:r>
      <w:r>
        <w:rPr>
          <w:rFonts w:ascii="PT Astra Serif" w:hAnsi="PT Astra Serif"/>
          <w:szCs w:val="28"/>
        </w:rPr>
        <w:t xml:space="preserve">иметь контакт больное восприимчивое животно</w:t>
      </w:r>
      <w:r>
        <w:rPr>
          <w:rFonts w:ascii="PT Astra Serif" w:hAnsi="PT Astra Serif"/>
          <w:szCs w:val="28"/>
        </w:rPr>
        <w:t xml:space="preserve">е;</w:t>
      </w:r>
      <w:r>
        <w:rPr>
          <w:rFonts w:ascii="PT Astra Serif" w:hAnsi="PT Astra Serif"/>
        </w:rPr>
      </w:r>
      <w:r/>
    </w:p>
    <w:p>
      <w:pPr>
        <w:pStyle w:val="618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6</w:t>
      </w:r>
      <w:r>
        <w:rPr>
          <w:rFonts w:ascii="PT Astra Serif" w:hAnsi="PT Astra Serif"/>
          <w:szCs w:val="28"/>
        </w:rPr>
        <w:t xml:space="preserve">) запретить проведение случки восприимчивых животных;</w:t>
      </w:r>
      <w:r>
        <w:rPr>
          <w:rFonts w:ascii="PT Astra Serif" w:hAnsi="PT Astra Serif"/>
        </w:rPr>
      </w:r>
      <w:r/>
    </w:p>
    <w:p>
      <w:pPr>
        <w:pStyle w:val="618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7</w:t>
      </w:r>
      <w:r>
        <w:rPr>
          <w:rFonts w:ascii="PT Astra Serif" w:hAnsi="PT Astra Serif"/>
          <w:szCs w:val="28"/>
        </w:rPr>
        <w:t xml:space="preserve">) запретить вывоз молока и </w:t>
      </w:r>
      <w:r>
        <w:rPr>
          <w:rFonts w:ascii="PT Astra Serif" w:hAnsi="PT Astra Serif"/>
          <w:szCs w:val="28"/>
        </w:rPr>
        <w:t xml:space="preserve">спермы</w:t>
      </w:r>
      <w:r>
        <w:rPr>
          <w:rFonts w:ascii="PT Astra Serif" w:hAnsi="PT Astra Serif"/>
          <w:szCs w:val="28"/>
        </w:rPr>
        <w:t xml:space="preserve">, полученных от восприимчивых животных.</w:t>
      </w:r>
      <w:r>
        <w:rPr>
          <w:rFonts w:ascii="PT Astra Serif" w:hAnsi="PT Astra Serif"/>
        </w:rPr>
      </w:r>
      <w:r/>
    </w:p>
    <w:p>
      <w:pPr>
        <w:pStyle w:val="618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4.</w:t>
      </w:r>
      <w:r>
        <w:rPr>
          <w:rFonts w:ascii="PT Astra Serif" w:hAnsi="PT Astra Serif"/>
          <w:szCs w:val="28"/>
        </w:rPr>
        <w:t xml:space="preserve"> </w:t>
      </w: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 период действия ограничительных мероприятий (карантина)</w:t>
      </w:r>
      <w:r>
        <w:rPr>
          <w:rFonts w:ascii="PT Astra Serif" w:hAnsi="PT Astra Serif"/>
          <w:szCs w:val="28"/>
        </w:rPr>
        <w:t xml:space="preserve"> у</w:t>
      </w:r>
      <w:r>
        <w:rPr>
          <w:rFonts w:ascii="PT Astra Serif" w:hAnsi="PT Astra Serif"/>
          <w:szCs w:val="28"/>
        </w:rPr>
        <w:t xml:space="preserve">становить следующие ограничения на территории неблагополучного пункта:</w:t>
      </w:r>
      <w:r>
        <w:rPr>
          <w:rFonts w:ascii="PT Astra Serif" w:hAnsi="PT Astra Serif"/>
        </w:rPr>
      </w:r>
      <w:r/>
    </w:p>
    <w:p>
      <w:pPr>
        <w:pStyle w:val="618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1</w:t>
      </w:r>
      <w:r>
        <w:rPr>
          <w:rFonts w:ascii="PT Astra Serif" w:hAnsi="PT Astra Serif"/>
          <w:szCs w:val="28"/>
        </w:rPr>
        <w:t xml:space="preserve">) запретить ввод (ввоз) и вывод (вывоз) за его пределы восприимчивых животных (за исключением вывоза на убой);</w:t>
      </w:r>
      <w:r>
        <w:rPr>
          <w:rFonts w:ascii="PT Astra Serif" w:hAnsi="PT Astra Serif"/>
        </w:rPr>
      </w:r>
      <w:r/>
    </w:p>
    <w:p>
      <w:pPr>
        <w:pStyle w:val="618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2</w:t>
      </w:r>
      <w:r>
        <w:rPr>
          <w:rFonts w:ascii="PT Astra Serif" w:hAnsi="PT Astra Serif"/>
          <w:szCs w:val="28"/>
        </w:rPr>
        <w:t xml:space="preserve">) запретить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вывоз продуктов убоя, полученных от восприимчивых</w:t>
      </w:r>
      <w:r>
        <w:rPr>
          <w:rFonts w:ascii="PT Astra Serif" w:hAnsi="PT Astra Serif"/>
          <w:szCs w:val="28"/>
        </w:rPr>
        <w:t xml:space="preserve"> животных;</w:t>
      </w:r>
      <w:r>
        <w:rPr>
          <w:rFonts w:ascii="PT Astra Serif" w:hAnsi="PT Astra Serif"/>
        </w:rPr>
      </w:r>
      <w:r/>
    </w:p>
    <w:p>
      <w:pPr>
        <w:pStyle w:val="618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  <w:t xml:space="preserve">3</w:t>
      </w:r>
      <w:r>
        <w:rPr>
          <w:rFonts w:ascii="PT Astra Serif" w:hAnsi="PT Astra Serif"/>
          <w:szCs w:val="28"/>
        </w:rPr>
        <w:t xml:space="preserve">) запретить проведение сельскохозяйственных ярмарок, выставок и других мероприятий, связанных с передвижением, перемещением и скоплением восприимчивых животных.</w:t>
      </w:r>
      <w:r>
        <w:rPr>
          <w:rFonts w:ascii="PT Astra Serif" w:hAnsi="PT Astra Serif"/>
        </w:rPr>
      </w:r>
      <w:r/>
    </w:p>
    <w:p>
      <w:pPr>
        <w:pStyle w:val="618"/>
        <w:ind w:firstLine="709"/>
        <w:rPr>
          <w:rFonts w:ascii="PT Astra Serif" w:hAnsi="PT Astra Serif" w:cs="Times New Roman"/>
          <w:szCs w:val="28"/>
        </w:rPr>
      </w:pPr>
      <w:r>
        <w:rPr>
          <w:rFonts w:ascii="PT Astra Serif" w:hAnsi="PT Astra Serif"/>
          <w:szCs w:val="28"/>
        </w:rPr>
        <w:t xml:space="preserve">5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 </w:t>
      </w:r>
      <w:r>
        <w:rPr>
          <w:rFonts w:ascii="PT Astra Serif" w:hAnsi="PT Astra Serif"/>
          <w:szCs w:val="28"/>
        </w:rPr>
        <w:t xml:space="preserve">Утвердить план</w:t>
      </w:r>
      <w:r>
        <w:rPr>
          <w:rFonts w:ascii="PT Astra Serif" w:hAnsi="PT Astra Serif"/>
          <w:szCs w:val="28"/>
        </w:rPr>
        <w:t xml:space="preserve"> мероприятий по предотвращению распространения и ликвидации </w:t>
      </w:r>
      <w:r>
        <w:rPr>
          <w:rFonts w:ascii="PT Astra Serif" w:hAnsi="PT Astra Serif"/>
          <w:szCs w:val="28"/>
        </w:rPr>
        <w:t xml:space="preserve">ИНАН</w:t>
      </w:r>
      <w:r>
        <w:rPr>
          <w:rFonts w:ascii="PT Astra Serif" w:hAnsi="PT Astra Serif"/>
          <w:szCs w:val="28"/>
        </w:rPr>
        <w:t xml:space="preserve"> в </w:t>
      </w:r>
      <w:r>
        <w:rPr>
          <w:rFonts w:ascii="PT Astra Serif" w:hAnsi="PT Astra Serif"/>
          <w:szCs w:val="28"/>
        </w:rPr>
        <w:t xml:space="preserve">неблагополучном </w:t>
      </w:r>
      <w:r>
        <w:rPr>
          <w:rFonts w:ascii="PT Astra Serif" w:hAnsi="PT Astra Serif" w:cs="Times New Roman"/>
          <w:szCs w:val="28"/>
        </w:rPr>
        <w:t xml:space="preserve">КФХ Лебедева А.И.</w:t>
      </w:r>
      <w:r>
        <w:rPr>
          <w:rFonts w:ascii="PT Astra Serif" w:hAnsi="PT Astra Serif" w:cs="Times New Roman"/>
          <w:szCs w:val="28"/>
        </w:rPr>
        <w:t xml:space="preserve">, согласно приложению к настоящему распоряжению</w:t>
      </w:r>
      <w:r>
        <w:rPr>
          <w:rFonts w:ascii="PT Astra Serif" w:hAnsi="PT Astra Serif" w:cs="Times New Roman"/>
          <w:szCs w:val="28"/>
        </w:rPr>
        <w:t xml:space="preserve">.</w:t>
      </w:r>
      <w:r>
        <w:rPr>
          <w:rFonts w:ascii="PT Astra Serif" w:hAnsi="PT Astra Serif" w:cs="Times New Roman"/>
          <w:szCs w:val="28"/>
        </w:rPr>
      </w:r>
      <w:r/>
    </w:p>
    <w:p>
      <w:pPr>
        <w:pStyle w:val="607"/>
        <w:ind w:firstLine="708"/>
        <w:jc w:val="both"/>
        <w:rPr>
          <w:rFonts w:ascii="PT Astra Serif" w:hAnsi="PT Astra Serif" w:cs="Times New Roman"/>
          <w:sz w:val="28"/>
          <w:szCs w:val="28"/>
        </w:rPr>
        <w:outlineLvl w:val="0"/>
      </w:pP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6.</w:t>
      </w:r>
      <w:r>
        <w:t xml:space="preserve"> 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Ограничительные мероприятия отменить после убоя всех больных животных, получения двух подряд с интервалом 30 дней отрицательных результатов при серологическом исследовании на ИНАН всего поголовья лошадей, а также проведения заключительной дезинфекции.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618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7</w:t>
      </w:r>
      <w:r>
        <w:rPr>
          <w:rFonts w:ascii="PT Astra Serif" w:hAnsi="PT Astra Serif"/>
          <w:szCs w:val="28"/>
        </w:rPr>
        <w:t xml:space="preserve">. Контроль за исполнением настоящего распоряжения возложить на </w:t>
      </w:r>
      <w:r>
        <w:rPr>
          <w:rFonts w:ascii="PT Astra Serif" w:hAnsi="PT Astra Serif"/>
          <w:szCs w:val="28"/>
        </w:rPr>
        <w:t xml:space="preserve">заместителя начальника, </w:t>
      </w:r>
      <w:r>
        <w:rPr>
          <w:rFonts w:ascii="PT Astra Serif" w:hAnsi="PT Astra Serif"/>
          <w:szCs w:val="28"/>
        </w:rPr>
        <w:t xml:space="preserve">председателя комитета </w:t>
      </w:r>
      <w:r>
        <w:rPr>
          <w:rFonts w:ascii="PT Astra Serif" w:hAnsi="PT Astra Serif"/>
          <w:szCs w:val="28"/>
        </w:rPr>
        <w:t xml:space="preserve">организации ветеринарной деятельности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</w:rPr>
      </w:r>
      <w:r/>
    </w:p>
    <w:p>
      <w:pPr>
        <w:pStyle w:val="620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0"/>
        <w:ind w:firstLine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3"/>
        <w:sectPr>
          <w:headerReference w:type="default" r:id="rId8"/>
          <w:footnotePr/>
          <w:endnotePr/>
          <w:type w:val="nextPage"/>
          <w:pgSz w:w="11906" w:h="16838" w:orient="portrait"/>
          <w:pgMar w:top="1134" w:right="567" w:bottom="1134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ачальник</w:t>
      </w:r>
      <w:r>
        <w:rPr>
          <w:rFonts w:ascii="PT Astra Serif" w:hAnsi="PT Astra Serif"/>
          <w:szCs w:val="28"/>
        </w:rPr>
        <w:t xml:space="preserve"> департамента</w:t>
      </w:r>
      <w:r>
        <w:rPr>
          <w:rFonts w:ascii="PT Astra Serif" w:hAnsi="PT Astra Serif"/>
          <w:szCs w:val="28"/>
        </w:rPr>
        <w:tab/>
      </w:r>
      <w:r>
        <w:rPr>
          <w:rFonts w:ascii="PT Astra Serif" w:hAnsi="PT Astra Serif"/>
          <w:szCs w:val="28"/>
        </w:rPr>
        <w:t xml:space="preserve">  </w:t>
      </w:r>
      <w:r>
        <w:rPr>
          <w:rFonts w:ascii="PT Astra Serif" w:hAnsi="PT Astra Serif"/>
          <w:szCs w:val="28"/>
        </w:rPr>
        <w:t xml:space="preserve">В.В.Табакаев</w:t>
      </w:r>
      <w:r>
        <w:rPr>
          <w:rFonts w:ascii="PT Astra Serif" w:hAnsi="PT Astra Serif"/>
        </w:rPr>
      </w:r>
      <w:r/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</w:rPr>
      </w:r>
      <w:r>
        <w:rPr>
          <w:rFonts w:ascii="PT Astra Serif" w:hAnsi="PT Astra Serif"/>
          <w:sz w:val="28"/>
          <w:szCs w:val="28"/>
        </w:rPr>
      </w:r>
      <w:r/>
      <w:r/>
      <w:r>
        <w:rPr>
          <w:rFonts w:ascii="PT Astra Serif" w:hAnsi="PT Astra Serif"/>
        </w:rPr>
      </w:r>
    </w:p>
    <w:p>
      <w:pPr>
        <w:pStyle w:val="607"/>
        <w:ind w:left="9882"/>
        <w:pageBreakBefore/>
      </w:pPr>
      <w:r>
        <w:rPr>
          <w:rStyle w:val="1_1029"/>
          <w:rFonts w:ascii="PT Astra Serif" w:hAnsi="PT Astra Serif" w:cs="Times New Roman"/>
          <w:sz w:val="26"/>
          <w:szCs w:val="26"/>
          <w:lang w:val="ru-RU"/>
        </w:rPr>
        <w:t xml:space="preserve">Приложение </w:t>
      </w:r>
      <w:r>
        <w:rPr>
          <w:rFonts w:ascii="PT Astra Serif" w:hAnsi="PT Astra Serif" w:cs="Times New Roman"/>
          <w:sz w:val="26"/>
          <w:szCs w:val="26"/>
          <w:lang w:val="en-US"/>
        </w:rPr>
      </w:r>
      <w:r/>
    </w:p>
    <w:p>
      <w:pPr>
        <w:pStyle w:val="607"/>
        <w:ind w:left="9882" w:firstLine="26"/>
      </w:pPr>
      <w:r>
        <w:rPr>
          <w:rStyle w:val="1_1029"/>
          <w:rFonts w:ascii="PT Astra Serif" w:hAnsi="PT Astra Serif" w:cs="Times New Roman"/>
          <w:sz w:val="26"/>
          <w:szCs w:val="26"/>
          <w:lang w:val="ru-RU"/>
        </w:rPr>
        <w:t xml:space="preserve">к распоряжению Департамента ветеринарии</w:t>
      </w:r>
      <w:r>
        <w:rPr>
          <w:rStyle w:val="1_1029"/>
          <w:rFonts w:ascii="PT Astra Serif" w:hAnsi="PT Astra Serif" w:cs="Times New Roman"/>
          <w:sz w:val="26"/>
          <w:szCs w:val="26"/>
          <w:lang w:val="ru-RU"/>
        </w:rPr>
        <w:t xml:space="preserve"> </w:t>
      </w:r>
      <w:r>
        <w:rPr>
          <w:rFonts w:ascii="PT Astra Serif" w:hAnsi="PT Astra Serif" w:cs="Times New Roman"/>
          <w:sz w:val="26"/>
          <w:szCs w:val="26"/>
          <w:lang w:val="ru-RU"/>
        </w:rPr>
        <w:t xml:space="preserve">Томской области</w:t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pStyle w:val="607"/>
        <w:ind w:left="9882" w:firstLine="26"/>
      </w:pPr>
      <w:r>
        <w:rPr>
          <w:rFonts w:ascii="PT Astra Serif" w:hAnsi="PT Astra Serif" w:cs="Times New Roman"/>
          <w:sz w:val="26"/>
          <w:szCs w:val="26"/>
          <w:lang w:val="ru-RU"/>
        </w:rPr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pStyle w:val="607"/>
        <w:ind w:left="9882" w:firstLine="26"/>
      </w:pPr>
      <w:r>
        <w:rPr>
          <w:rStyle w:val="1_1029"/>
          <w:rFonts w:ascii="PT Astra Serif" w:hAnsi="PT Astra Serif" w:cs="Times New Roman"/>
          <w:sz w:val="26"/>
          <w:szCs w:val="26"/>
          <w:lang w:val="ru-RU"/>
        </w:rPr>
        <w:t xml:space="preserve">от 14.03.2025 № 1-р</w:t>
      </w:r>
      <w:r/>
    </w:p>
    <w:p>
      <w:pPr>
        <w:pStyle w:val="1_1031"/>
        <w:spacing w:before="0" w:after="0"/>
      </w:pPr>
      <w:r>
        <w:rPr>
          <w:rFonts w:ascii="PT Astra Serif" w:hAnsi="PT Astra Serif" w:cs="Times New Roman"/>
          <w:sz w:val="26"/>
          <w:szCs w:val="26"/>
          <w:lang w:val="ru-RU"/>
        </w:rPr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pStyle w:val="1_1031"/>
        <w:jc w:val="center"/>
        <w:spacing w:before="0" w:after="0"/>
      </w:pPr>
      <w:r>
        <w:rPr>
          <w:rFonts w:ascii="PT Astra Serif" w:hAnsi="PT Astra Serif" w:cs="Times New Roman"/>
          <w:i w:val="0"/>
          <w:sz w:val="26"/>
          <w:szCs w:val="26"/>
          <w:lang w:val="ru-RU"/>
        </w:rPr>
        <w:t xml:space="preserve">План</w:t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pStyle w:val="607"/>
        <w:ind w:firstLine="709"/>
        <w:jc w:val="center"/>
      </w:pPr>
      <w:r>
        <w:rPr>
          <w:rFonts w:ascii="PT Astra Serif" w:hAnsi="PT Astra Serif" w:cs="Times New Roman"/>
          <w:sz w:val="26"/>
          <w:szCs w:val="26"/>
          <w:lang w:val="ru-RU"/>
        </w:rPr>
        <w:t xml:space="preserve">мероприятий по предотвращению распространения и ликвидации ин</w:t>
      </w:r>
      <w:r>
        <w:rPr>
          <w:rFonts w:ascii="PT Astra Serif" w:hAnsi="PT Astra Serif" w:cs="Times New Roman"/>
          <w:sz w:val="26"/>
          <w:szCs w:val="26"/>
          <w:lang w:val="ru-RU"/>
        </w:rPr>
        <w:t xml:space="preserve">фекционной анемии лошадей в </w:t>
      </w:r>
      <w:r>
        <w:rPr>
          <w:rFonts w:ascii="PT Astra Serif" w:hAnsi="PT Astra Serif" w:cs="Times New Roman"/>
          <w:sz w:val="28"/>
          <w:szCs w:val="28"/>
          <w:lang w:val="ru-RU"/>
        </w:rPr>
        <w:t xml:space="preserve">неблагополучном </w:t>
      </w:r>
      <w:r>
        <w:rPr>
          <w:rFonts w:ascii="PT Astra Serif" w:hAnsi="PT Astra Serif" w:cs="Times New Roman"/>
          <w:sz w:val="28"/>
          <w:szCs w:val="28"/>
          <w:lang w:val="ru-RU"/>
        </w:rPr>
        <w:t xml:space="preserve">КФХ Лебедева А.И.</w:t>
      </w:r>
      <w:r>
        <w:rPr>
          <w:rFonts w:ascii="PT Astra Serif" w:hAnsi="PT Astra Serif" w:cs="Times New Roman"/>
          <w:sz w:val="26"/>
          <w:szCs w:val="26"/>
          <w:lang w:val="ru-RU"/>
        </w:rPr>
      </w:r>
      <w:r/>
    </w:p>
    <w:p>
      <w:pPr>
        <w:pStyle w:val="607"/>
        <w:ind w:firstLine="709"/>
        <w:jc w:val="center"/>
        <w:rPr>
          <w:rFonts w:ascii="PT Astra Serif" w:hAnsi="PT Astra Serif" w:eastAsia="Times New Roman" w:cs="Times New Roman"/>
          <w:color w:val="000000"/>
          <w:lang w:val="ru-RU"/>
        </w:rPr>
      </w:pPr>
      <w:r>
        <w:rPr>
          <w:rFonts w:ascii="PT Astra Serif" w:hAnsi="PT Astra Serif" w:eastAsia="Times New Roman" w:cs="Times New Roman"/>
          <w:color w:val="000000"/>
          <w:sz w:val="26"/>
          <w:szCs w:val="26"/>
          <w:lang w:val="ru-RU"/>
        </w:rPr>
      </w:r>
      <w:r>
        <w:rPr>
          <w:rFonts w:ascii="PT Astra Serif" w:hAnsi="PT Astra Serif" w:eastAsia="Times New Roman" w:cs="Times New Roman"/>
          <w:color w:val="000000"/>
          <w:sz w:val="26"/>
          <w:szCs w:val="26"/>
          <w:lang w:val="ru-RU"/>
        </w:rPr>
      </w:r>
      <w:r/>
    </w:p>
    <w:tbl>
      <w:tblPr>
        <w:tblW w:w="14997" w:type="dxa"/>
        <w:tblInd w:w="-5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00"/>
        <w:gridCol w:w="8585"/>
        <w:gridCol w:w="2835"/>
        <w:gridCol w:w="2977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№ п/п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Наименование мероприятий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Срок исполнения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Ответственный исполнитель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Информировать население и орган местного самоуправления о возникновении очага инфекционной анемии лошадей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Немедленно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ОГАУ 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«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Парабельское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 райветуправление»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2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Изолировать больных восприимчивых животных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При установлении диагноза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Лебедев Андрей Иванович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 (далее – Владелец)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highlight w:val="yellow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3</w:t>
            </w:r>
            <w:r>
              <w:rPr>
                <w:rFonts w:ascii="PT Astra Serif" w:hAnsi="PT Astra Serif" w:cs="Times New Roman"/>
                <w:sz w:val="26"/>
                <w:szCs w:val="26"/>
                <w:highlight w:val="yellow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осуществлять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 неблагополучном пункте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обработку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 восприимчивых животных средствами, обеспечивающими гибель кровососущих насекомых, в соответствии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с инструкциями по их применению (при наличии животных)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При появлении восприимчивых животных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ОГАУ «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Парабельское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 райветуправление»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4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Осуществить клинический осмотр всего поголовья в эпизоотически очаге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При установлении диагноза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jc w:val="center"/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highlight w:val="none"/>
                <w:lang w:val="ru-RU"/>
              </w:rPr>
              <w:t xml:space="preserve">Владелец,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  <w:p>
            <w:pPr>
              <w:pStyle w:val="607"/>
              <w:jc w:val="center"/>
              <w:rPr>
                <w:rFonts w:ascii="PT Astra Serif" w:hAnsi="PT Astra Serif" w:cs="Times New Roman"/>
                <w:highlight w:val="none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ОГАУ 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«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Парабельское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 райветуправление»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highlight w:val="none"/>
                <w:lang w:val="ru-RU"/>
              </w:rPr>
            </w:r>
            <w:r>
              <w:rPr>
                <w:rStyle w:val="1_1029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5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Обеспечить обработку восп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риимчивых животных в хозяйстве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средствами, обеспечивающими гибель кровососущих насекомых, согласно инструкциям по применению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1_1030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 период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6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Обеспечить дезинсекцию помещений для содержания восприимчивых животных, почву, траву, кустарники, инвентарь, транспортные средства средствами, обеспечивающими гибель кровососущих насекомых, в соответствии с инструкциями по их применению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1_1030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 период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7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Оборудовать дезинфекционные коврики на входе (выходе) и дезинфекционный барьер на въезде (выезде) на территорию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неблагополучного </w:t>
            </w:r>
            <w:r>
              <w:rPr>
                <w:rFonts w:ascii="PT Astra Serif" w:hAnsi="PT Astra Serif" w:cs="Times New Roman"/>
                <w:sz w:val="26"/>
                <w:szCs w:val="26"/>
                <w:highlight w:val="none"/>
                <w:lang w:val="ru-RU"/>
              </w:rPr>
              <w:t xml:space="preserve">пункта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1_1030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 период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8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Обеспечить дезинфекционную обработку и смену рабочей одежды и обуви, а также дезинфекционную обработку поверхности транспортных средств при выезде с территории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неблагополучной площадки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1_1030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 период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9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Обеспечить проведение убоя бескровным методом лошадей, больных клинически, на санитарной бойне с последующей утилизацией продуктов убоя (за исключением шкур и волоса)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 течение 3-х дней при выявлении клинически больных животных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10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both"/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Подвергнуть убою больных восприимчивых животных, не имеющих клинических признаков заболевания (животных, давших положительные или дважды сомнительные результаты при серологическом исследовании на ИНАН).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  <w:p>
            <w:pPr>
              <w:pStyle w:val="607"/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Мясо, признанное годным в пищу, использовать согласно действующим правилам ветеринарно-санитарной экспертизы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 течение 30 дней с момента установления диагноза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11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Подвергнуть 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шкуры, полученные от больных восприимчивых животных, дезинфекции. Конский волос использовать без ограничений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После убоя больных животных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</w:rPr>
            </w:r>
            <w:r>
              <w:rPr>
                <w:rStyle w:val="1_1029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12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Исследовать на инфекционную анемию лошадей все поголовье восприимчивых животных с 6-ти месячного возраста с интервалом 30 дней до получения двукратного отрицательного результата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После убоя больных лошадей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trHeight w:val="4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13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Подвергнуть дезинфекции конюшню, территорию, упряжь, предметы ухода, транспортные средства, используемые для перевозки восприимчивых животных и навоз в соответствии с действующими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правилами осуществл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инфекционной анемии лошадей, утвержденными приказом Минсельхо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за России от 26.08.2021 года № 593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07"/>
              <w:jc w:val="center"/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Проводится в три этапа: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  <w:p>
            <w:pPr>
              <w:pStyle w:val="607"/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1) сразу после изоляции больных животных;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  <w:p>
            <w:pPr>
              <w:pStyle w:val="607"/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2) после проведения механической очистки;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  <w:p>
            <w:pPr>
              <w:pStyle w:val="607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3) перед отменой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</w:rPr>
            </w:r>
            <w:r>
              <w:rPr>
                <w:rStyle w:val="1_1029"/>
              </w:rPr>
            </w:r>
          </w:p>
        </w:tc>
      </w:tr>
      <w:tr>
        <w:trPr>
          <w:trHeight w:val="9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  <w:t xml:space="preserve">14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85" w:type="dxa"/>
            <w:vAlign w:val="top"/>
            <w:textDirection w:val="lrTb"/>
            <w:noWrap w:val="false"/>
          </w:tcPr>
          <w:p>
            <w:pPr>
              <w:pStyle w:val="607"/>
              <w:jc w:val="both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Складировать навоз восприимчивых животных в штабеля для биотермического обеззараживания в течение не менее 30 календарных дней. Навозная жижа обеззараживается хлорной известью</w:t>
            </w: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</w:r>
            <w:r>
              <w:rPr>
                <w:rStyle w:val="1_1029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1_1030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На период карантина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7"/>
              <w:jc w:val="center"/>
              <w:rPr>
                <w:rFonts w:ascii="PT Astra Serif" w:hAnsi="PT Astra Serif" w:cs="Times New Roman"/>
                <w:lang w:val="ru-RU"/>
              </w:rPr>
            </w:pPr>
            <w:r>
              <w:rPr>
                <w:rStyle w:val="1_1029"/>
                <w:rFonts w:ascii="PT Astra Serif" w:hAnsi="PT Astra Serif" w:cs="Times New Roman"/>
                <w:sz w:val="26"/>
                <w:szCs w:val="26"/>
                <w:lang w:val="ru-RU"/>
              </w:rPr>
              <w:t xml:space="preserve">Владелец </w:t>
            </w:r>
            <w:r>
              <w:rPr>
                <w:rFonts w:ascii="PT Astra Serif" w:hAnsi="PT Astra Serif" w:cs="Times New Roman"/>
                <w:sz w:val="26"/>
                <w:szCs w:val="26"/>
                <w:lang w:val="ru-RU"/>
              </w:rPr>
            </w:r>
            <w:r/>
          </w:p>
        </w:tc>
      </w:tr>
    </w:tbl>
    <w:p>
      <w:pPr>
        <w:pStyle w:val="620"/>
      </w:pPr>
      <w:r/>
      <w:r/>
    </w:p>
    <w:sectPr>
      <w:footnotePr/>
      <w:endnotePr/>
      <w:type w:val="nextPage"/>
      <w:pgSz w:w="16838" w:h="11906" w:orient="landscape"/>
      <w:pgMar w:top="1134" w:right="1134" w:bottom="567" w:left="1134" w:header="72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40503050201020203"/>
  </w:font>
  <w:font w:name="Microsoft YaHei">
    <w:panose1 w:val="020B0503020204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19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7"/>
    <w:next w:val="607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7"/>
    <w:next w:val="607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7"/>
    <w:next w:val="607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7"/>
    <w:next w:val="607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7"/>
    <w:next w:val="607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7"/>
    <w:next w:val="607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7"/>
    <w:next w:val="607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7"/>
    <w:next w:val="607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7"/>
    <w:next w:val="607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7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7"/>
    <w:next w:val="607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07"/>
    <w:next w:val="607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07"/>
    <w:next w:val="607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7"/>
    <w:next w:val="607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7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07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07"/>
    <w:next w:val="6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7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07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07"/>
    <w:next w:val="607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7"/>
    <w:next w:val="607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7"/>
    <w:next w:val="607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7"/>
    <w:next w:val="607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7"/>
    <w:next w:val="607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7"/>
    <w:next w:val="607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7"/>
    <w:next w:val="607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7"/>
    <w:next w:val="607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7"/>
    <w:next w:val="607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7"/>
    <w:next w:val="607"/>
    <w:uiPriority w:val="99"/>
    <w:unhideWhenUsed/>
    <w:pPr>
      <w:spacing w:after="0" w:afterAutospacing="0"/>
    </w:pPr>
  </w:style>
  <w:style w:type="paragraph" w:styleId="607" w:default="1">
    <w:name w:val="Normal"/>
    <w:next w:val="607"/>
    <w:link w:val="607"/>
    <w:qFormat/>
    <w:pPr>
      <w:widowControl w:val="off"/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character" w:styleId="608">
    <w:name w:val="Основной шрифт абзаца"/>
    <w:next w:val="608"/>
    <w:link w:val="607"/>
    <w:uiPriority w:val="1"/>
    <w:unhideWhenUsed/>
  </w:style>
  <w:style w:type="table" w:styleId="609">
    <w:name w:val="Обычная таблица"/>
    <w:next w:val="609"/>
    <w:link w:val="607"/>
    <w:uiPriority w:val="99"/>
    <w:semiHidden/>
    <w:unhideWhenUsed/>
    <w:tblPr/>
  </w:style>
  <w:style w:type="numbering" w:styleId="610">
    <w:name w:val="Нет списка"/>
    <w:next w:val="610"/>
    <w:link w:val="607"/>
    <w:uiPriority w:val="99"/>
    <w:semiHidden/>
    <w:unhideWhenUsed/>
  </w:style>
  <w:style w:type="character" w:styleId="611">
    <w:name w:val="Верхний колонтитул Знак"/>
    <w:next w:val="611"/>
    <w:link w:val="607"/>
    <w:qFormat/>
    <w:rPr>
      <w:rFonts w:ascii="Times New Roman" w:hAnsi="Times New Roman" w:eastAsia="Lucida Sans Unicode" w:cs="Mangal"/>
      <w:sz w:val="21"/>
      <w:szCs w:val="24"/>
      <w:lang w:eastAsia="zh-CN" w:bidi="hi-IN"/>
    </w:rPr>
  </w:style>
  <w:style w:type="character" w:styleId="612">
    <w:name w:val="Текст выноски Знак"/>
    <w:next w:val="612"/>
    <w:link w:val="607"/>
    <w:uiPriority w:val="99"/>
    <w:semiHidden/>
    <w:qFormat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613">
    <w:name w:val="Заголовок"/>
    <w:basedOn w:val="607"/>
    <w:next w:val="614"/>
    <w:link w:val="607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614">
    <w:name w:val="Основной текст"/>
    <w:basedOn w:val="607"/>
    <w:next w:val="614"/>
    <w:link w:val="607"/>
    <w:pPr>
      <w:spacing w:after="140" w:line="276" w:lineRule="auto"/>
    </w:pPr>
  </w:style>
  <w:style w:type="paragraph" w:styleId="615">
    <w:name w:val="Список"/>
    <w:basedOn w:val="614"/>
    <w:next w:val="615"/>
    <w:link w:val="607"/>
  </w:style>
  <w:style w:type="paragraph" w:styleId="616">
    <w:name w:val="Название объекта"/>
    <w:basedOn w:val="607"/>
    <w:next w:val="616"/>
    <w:link w:val="607"/>
    <w:qFormat/>
    <w:pPr>
      <w:spacing w:before="120" w:after="120"/>
      <w:suppressLineNumbers/>
    </w:pPr>
    <w:rPr>
      <w:i/>
      <w:iCs/>
      <w:sz w:val="24"/>
    </w:rPr>
  </w:style>
  <w:style w:type="paragraph" w:styleId="617">
    <w:name w:val="Указатель"/>
    <w:basedOn w:val="607"/>
    <w:next w:val="617"/>
    <w:link w:val="607"/>
    <w:qFormat/>
    <w:pPr>
      <w:suppressLineNumbers/>
    </w:pPr>
  </w:style>
  <w:style w:type="paragraph" w:styleId="618">
    <w:name w:val="Standard"/>
    <w:next w:val="618"/>
    <w:link w:val="607"/>
    <w:qFormat/>
    <w:pPr>
      <w:jc w:val="both"/>
      <w:widowControl w:val="off"/>
    </w:pPr>
    <w:rPr>
      <w:rFonts w:ascii="Times New Roman" w:hAnsi="Times New Roman" w:eastAsia="Lucida Sans Unicode" w:cs="Mangal"/>
      <w:sz w:val="28"/>
      <w:szCs w:val="24"/>
      <w:lang w:val="ru-RU" w:eastAsia="zh-CN" w:bidi="hi-IN"/>
    </w:rPr>
  </w:style>
  <w:style w:type="paragraph" w:styleId="619">
    <w:name w:val="Верхний колонтитул"/>
    <w:basedOn w:val="618"/>
    <w:next w:val="619"/>
    <w:link w:val="607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620">
    <w:name w:val="Основной текст с отступом1"/>
    <w:basedOn w:val="607"/>
    <w:next w:val="620"/>
    <w:link w:val="607"/>
    <w:qFormat/>
    <w:pPr>
      <w:ind w:firstLine="709"/>
      <w:jc w:val="both"/>
    </w:pPr>
    <w:rPr>
      <w:rFonts w:ascii="Times New Roman" w:hAnsi="Times New Roman"/>
    </w:rPr>
  </w:style>
  <w:style w:type="paragraph" w:styleId="621">
    <w:name w:val="Содержимое таблицы"/>
    <w:basedOn w:val="618"/>
    <w:next w:val="621"/>
    <w:link w:val="607"/>
    <w:qFormat/>
    <w:pPr>
      <w:suppressLineNumbers/>
    </w:pPr>
  </w:style>
  <w:style w:type="paragraph" w:styleId="622">
    <w:name w:val="Текст шапки"/>
    <w:basedOn w:val="607"/>
    <w:next w:val="622"/>
    <w:link w:val="607"/>
    <w:qFormat/>
    <w:pPr>
      <w:jc w:val="center"/>
    </w:pPr>
    <w:rPr>
      <w:rFonts w:ascii="Times New Roman" w:hAnsi="Times New Roman"/>
      <w:b/>
      <w:bCs/>
      <w:sz w:val="30"/>
      <w:szCs w:val="30"/>
    </w:rPr>
  </w:style>
  <w:style w:type="paragraph" w:styleId="623">
    <w:name w:val="Подпись_дол+ФИО"/>
    <w:basedOn w:val="607"/>
    <w:next w:val="620"/>
    <w:link w:val="607"/>
    <w:qFormat/>
    <w:pPr>
      <w:tabs>
        <w:tab w:val="right" w:pos="10035" w:leader="none"/>
      </w:tabs>
    </w:pPr>
    <w:rPr>
      <w:rFonts w:ascii="Times New Roman" w:hAnsi="Times New Roman"/>
      <w:sz w:val="28"/>
    </w:rPr>
  </w:style>
  <w:style w:type="paragraph" w:styleId="624">
    <w:name w:val="Текст выноски"/>
    <w:basedOn w:val="607"/>
    <w:next w:val="624"/>
    <w:link w:val="607"/>
    <w:uiPriority w:val="99"/>
    <w:semiHidden/>
    <w:unhideWhenUsed/>
    <w:qFormat/>
    <w:rPr>
      <w:rFonts w:ascii="Tahoma" w:hAnsi="Tahoma"/>
      <w:sz w:val="16"/>
      <w:szCs w:val="14"/>
    </w:rPr>
  </w:style>
  <w:style w:type="character" w:styleId="1219" w:default="1">
    <w:name w:val="Default Paragraph Font"/>
    <w:uiPriority w:val="1"/>
    <w:semiHidden/>
    <w:unhideWhenUsed/>
  </w:style>
  <w:style w:type="numbering" w:styleId="1220" w:default="1">
    <w:name w:val="No List"/>
    <w:uiPriority w:val="99"/>
    <w:semiHidden/>
    <w:unhideWhenUsed/>
  </w:style>
  <w:style w:type="table" w:styleId="1221" w:default="1">
    <w:name w:val="Normal Table"/>
    <w:uiPriority w:val="99"/>
    <w:semiHidden/>
    <w:unhideWhenUsed/>
    <w:tblPr/>
  </w:style>
  <w:style w:type="character" w:styleId="1_1029" w:customStyle="1">
    <w:name w:val="Основной шрифт абзаца1"/>
    <w:next w:val="816"/>
    <w:link w:val="812"/>
  </w:style>
  <w:style w:type="paragraph" w:styleId="1_1031" w:customStyle="1">
    <w:name w:val="Название объекта1"/>
    <w:basedOn w:val="812"/>
    <w:next w:val="821"/>
    <w:link w:val="812"/>
    <w:pPr>
      <w:contextualSpacing w:val="0"/>
      <w:ind w:left="0" w:right="0" w:firstLine="0"/>
      <w:jc w:val="left"/>
      <w:keepLines w:val="0"/>
      <w:keepNext w:val="0"/>
      <w:pageBreakBefore w:val="0"/>
      <w:spacing w:before="120" w:beforeAutospacing="0" w:after="120" w:afterAutospacing="0" w:line="240" w:lineRule="auto"/>
      <w:shd w:val="nil" w:color="00000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/>
    </w:pPr>
    <w:rPr>
      <w:rFonts w:ascii="Times New Roman" w:hAnsi="Times New Roman" w:eastAsia="Andale Sans UI" w:cs="Tahoma"/>
      <w:b w:val="0"/>
      <w:bCs w:val="0"/>
      <w:i/>
      <w:iCs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de-DE" w:eastAsia="ja-JP" w:bidi="fa-IR"/>
      <w14:ligatures w14:val="none"/>
    </w:rPr>
  </w:style>
  <w:style w:type="paragraph" w:styleId="1_1030" w:customStyle="1">
    <w:name w:val="Обычный1"/>
    <w:next w:val="819"/>
    <w:link w:val="812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Times New Roman" w:hAnsi="Times New Roman" w:eastAsia="Andale Sans UI" w:cs="Tahom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de-DE" w:eastAsia="ja-JP" w:bidi="fa-IR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language>ru-RU</dc:language>
  <cp:revision>18</cp:revision>
  <dcterms:created xsi:type="dcterms:W3CDTF">2021-11-29T08:41:00Z</dcterms:created>
  <dcterms:modified xsi:type="dcterms:W3CDTF">2025-03-17T11:27:18Z</dcterms:modified>
  <cp:version>1048576</cp:version>
</cp:coreProperties>
</file>