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3"/>
        <w:ind w:right="-333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Выписка из протокола</w:t>
      </w:r>
      <w:r/>
    </w:p>
    <w:p>
      <w:pPr>
        <w:pStyle w:val="603"/>
        <w:ind w:right="-333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заседания Комиссии 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от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2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5.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12.202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4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№ </w:t>
      </w:r>
      <w:r>
        <w:rPr>
          <w:rFonts w:ascii="PT Astra Serif" w:hAnsi="PT Astra Serif" w:cs="Times New Roman"/>
          <w:sz w:val="26"/>
          <w:szCs w:val="26"/>
        </w:rPr>
        <w:t xml:space="preserve">4</w:t>
      </w:r>
      <w:r/>
    </w:p>
    <w:p>
      <w:pPr>
        <w:pStyle w:val="603"/>
        <w:ind w:right="-333"/>
        <w:jc w:val="center"/>
        <w:rPr>
          <w:rFonts w:ascii="PT Astra Serif" w:hAnsi="PT Astra Serif" w:cs="Times New Roman"/>
          <w:b/>
          <w:bCs/>
          <w:sz w:val="16"/>
          <w:szCs w:val="16"/>
        </w:rPr>
      </w:pPr>
      <w:r>
        <w:rPr>
          <w:rFonts w:ascii="PT Astra Serif" w:hAnsi="PT Astra Serif" w:cs="Times New Roman"/>
          <w:b/>
          <w:bCs/>
          <w:sz w:val="16"/>
          <w:szCs w:val="16"/>
        </w:rPr>
      </w:r>
      <w:r/>
    </w:p>
    <w:p>
      <w:pPr>
        <w:pStyle w:val="603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</w:r>
      <w:r/>
    </w:p>
    <w:p>
      <w:pPr>
        <w:pStyle w:val="603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  <w:t xml:space="preserve">Источник информации, содержащей основания для проведения заседания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Комиссии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(далее – Комиссия)</w:t>
      </w:r>
      <w:r>
        <w:rPr>
          <w:rFonts w:ascii="PT Astra Serif" w:hAnsi="PT Astra Serif" w:eastAsia="Courier New" w:cs="Times New Roman"/>
          <w:b/>
          <w:sz w:val="26"/>
          <w:szCs w:val="26"/>
        </w:rPr>
        <w:t xml:space="preserve">: </w:t>
      </w:r>
      <w:r/>
    </w:p>
    <w:p>
      <w:pPr>
        <w:pStyle w:val="603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- представление секретаря Комиссии от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1</w:t>
      </w:r>
      <w:r>
        <w:rPr>
          <w:rFonts w:ascii="PT Astra Serif" w:hAnsi="PT Astra Serif" w:eastAsia="Courier New" w:cs="Times New Roman"/>
          <w:sz w:val="26"/>
          <w:szCs w:val="26"/>
        </w:rPr>
        <w:t xml:space="preserve">9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12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.202</w:t>
      </w:r>
      <w:r>
        <w:rPr>
          <w:rFonts w:ascii="PT Astra Serif" w:hAnsi="PT Astra Serif" w:eastAsia="Courier New" w:cs="Times New Roman"/>
          <w:sz w:val="26"/>
          <w:szCs w:val="26"/>
        </w:rPr>
        <w:t xml:space="preserve">4</w:t>
      </w:r>
      <w:r>
        <w:rPr>
          <w:rFonts w:ascii="PT Astra Serif" w:hAnsi="PT Astra Serif" w:eastAsia="Courier New" w:cs="Times New Roman"/>
          <w:sz w:val="26"/>
          <w:szCs w:val="26"/>
        </w:rPr>
        <w:t xml:space="preserve"> об осуществлении в Департаменте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ветеринарии Томской области (далее – Департамент)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мер по предупреждению коррупции</w:t>
      </w:r>
      <w:r>
        <w:rPr>
          <w:rFonts w:ascii="PT Astra Serif" w:hAnsi="PT Astra Serif" w:eastAsia="Courier New" w:cs="Times New Roman"/>
          <w:sz w:val="26"/>
          <w:szCs w:val="26"/>
        </w:rPr>
      </w:r>
      <w:r>
        <w:rPr>
          <w:rFonts w:ascii="PT Astra Serif" w:hAnsi="PT Astra Serif" w:eastAsia="Courier New" w:cs="Times New Roman"/>
          <w:sz w:val="26"/>
          <w:szCs w:val="26"/>
        </w:rPr>
      </w:r>
      <w:r>
        <w:rPr>
          <w:rFonts w:ascii="PT Astra Serif" w:hAnsi="PT Astra Serif" w:eastAsia="Courier New" w:cs="Times New Roman"/>
          <w:sz w:val="26"/>
          <w:szCs w:val="26"/>
        </w:rPr>
        <w:t xml:space="preserve">;</w:t>
      </w:r>
      <w:r/>
      <w:r/>
    </w:p>
    <w:p>
      <w:pPr>
        <w:ind w:firstLine="709"/>
        <w:jc w:val="both"/>
        <w:rPr>
          <w:rFonts w:ascii="PT Astra Serif" w:hAnsi="PT Astra Serif" w:eastAsia="Courier New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 w:eastAsia="Courier New" w:cs="Times New Roman"/>
          <w:sz w:val="26"/>
          <w:szCs w:val="26"/>
        </w:rPr>
        <w:t xml:space="preserve">-</w:t>
      </w:r>
      <w:r>
        <w:rPr>
          <w:rFonts w:ascii="PT Astra Serif" w:hAnsi="PT Astra Serif" w:eastAsia="Courier New" w:cs="Times New Roman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план работы Комиссии на 2025</w:t>
      </w:r>
      <w:r>
        <w:rPr>
          <w:rFonts w:ascii="PT Astra Serif" w:hAnsi="PT Astra Serif"/>
          <w:sz w:val="26"/>
          <w:szCs w:val="26"/>
        </w:rPr>
        <w:t xml:space="preserve"> год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/>
      <w:r/>
      <w:r>
        <w:rPr>
          <w:rFonts w:ascii="PT Astra Serif" w:hAnsi="PT Astra Serif" w:eastAsia="Courier New" w:cs="Times New Roman"/>
          <w:sz w:val="26"/>
          <w:szCs w:val="26"/>
        </w:rPr>
      </w:r>
      <w:r>
        <w:rPr>
          <w:rFonts w:ascii="PT Astra Serif" w:hAnsi="PT Astra Serif" w:eastAsia="Courier New" w:cs="Times New Roman"/>
          <w:sz w:val="26"/>
          <w:szCs w:val="26"/>
        </w:rPr>
        <w:t xml:space="preserve"> </w:t>
      </w:r>
      <w:r/>
      <w:r/>
    </w:p>
    <w:p>
      <w:pPr>
        <w:pStyle w:val="603"/>
        <w:ind w:firstLine="709"/>
        <w:jc w:val="both"/>
        <w:rPr>
          <w:rFonts w:ascii="PT Astra Serif" w:hAnsi="PT Astra Serif" w:eastAsia="Courier New" w:cs="Times New Roman"/>
          <w:sz w:val="16"/>
          <w:szCs w:val="16"/>
        </w:rPr>
      </w:pPr>
      <w:r>
        <w:rPr>
          <w:rFonts w:ascii="PT Astra Serif" w:hAnsi="PT Astra Serif" w:eastAsia="Courier New" w:cs="Times New Roman"/>
          <w:sz w:val="16"/>
          <w:szCs w:val="16"/>
        </w:rPr>
      </w:r>
      <w:r/>
    </w:p>
    <w:p>
      <w:pPr>
        <w:pStyle w:val="603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Вопросы повестки заседания Комиссии: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pStyle w:val="603"/>
        <w:ind w:firstLine="709"/>
        <w:jc w:val="both"/>
      </w:pPr>
      <w:r>
        <w:rPr>
          <w:rStyle w:val="636"/>
          <w:rFonts w:ascii="PT Astra Serif" w:hAnsi="PT Astra Serif" w:eastAsia="Courier New" w:cs="Times New Roman"/>
          <w:sz w:val="26"/>
          <w:szCs w:val="26"/>
        </w:rPr>
        <w:t xml:space="preserve">1. 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О проведении разъяснительной работы среди государственных гражданских служащих Томской области, замещающих должность государственной гражданской службы</w:t>
      </w:r>
      <w:r>
        <w:rPr>
          <w:rFonts w:ascii="PT Astra Serif" w:hAnsi="PT Astra Serif" w:eastAsia="Courier New" w:cs="Times New Roman"/>
          <w:sz w:val="26"/>
          <w:szCs w:val="26"/>
        </w:rPr>
        <w:t xml:space="preserve"> в Департаменте ветеринарии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Томской области (далее - государственные гражданские служащие Департамента) по вопросам противодействия коррупции и о порядке уведомления о фактах обращения в целях склонения государственного гражданского служащего к совершению коррупционных правонарушений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</w:r>
      <w:r/>
    </w:p>
    <w:p>
      <w:pPr>
        <w:pStyle w:val="603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2.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О</w:t>
      </w:r>
      <w:r>
        <w:rPr>
          <w:rFonts w:ascii="PT Astra Serif" w:hAnsi="PT Astra Serif" w:eastAsia="Courier New" w:cs="Times New Roman"/>
          <w:sz w:val="26"/>
          <w:szCs w:val="26"/>
        </w:rPr>
        <w:t xml:space="preserve"> результатах соблюдения требований пункта 2 статьи 14 Федерального закона от 27.07.2004 № 79-ФЗ «О государственной гражданской службе Российской Федерации» по предварительному уведомлению представителя нанимателя о выполнении иной оплачиваемой деятельности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</w:r>
      <w:r/>
    </w:p>
    <w:p>
      <w:pPr>
        <w:pStyle w:val="603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3.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 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О результатах проведения анализа правоприменительной практики по результатам вступивших в законную силу решений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судов, арбитражных судов о признании недействитель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ными ненормативных правовых актов, незаконными решений и действий (бездействия) Департамента ветеринарии Томской области (далее – Департамент) и его должностных лиц в целях выработки и принятия мер по предупреждению и устранению причин выявленных нарушений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</w:r>
      <w:r/>
    </w:p>
    <w:p>
      <w:pPr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О результатах провер</w:t>
      </w:r>
      <w:r>
        <w:rPr>
          <w:rFonts w:ascii="PT Astra Serif" w:hAnsi="PT Astra Serif"/>
          <w:sz w:val="26"/>
          <w:szCs w:val="26"/>
        </w:rPr>
        <w:t xml:space="preserve">ки в отношении государственных гражданских служащих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на предмет соблюдения ими запретов и ограничений, установленных для государственных служащих.</w:t>
      </w:r>
      <w:r>
        <w:rPr>
          <w:rFonts w:ascii="PT Astra Serif" w:hAnsi="PT Astra Serif" w:eastAsia="Courier New" w:cs="Times New Roman"/>
          <w:sz w:val="26"/>
          <w:szCs w:val="26"/>
        </w:rPr>
      </w:r>
      <w:r/>
    </w:p>
    <w:p>
      <w:pPr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sz w:val="26"/>
          <w:szCs w:val="26"/>
          <w:lang w:eastAsia="zh-CN"/>
        </w:rPr>
        <w:t xml:space="preserve">О </w:t>
      </w:r>
      <w:r>
        <w:rPr>
          <w:rFonts w:ascii="PT Astra Serif" w:hAnsi="PT Astra Serif"/>
          <w:sz w:val="26"/>
          <w:szCs w:val="26"/>
          <w:lang w:eastAsia="zh-CN"/>
        </w:rPr>
        <w:t xml:space="preserve">результат</w:t>
      </w:r>
      <w:r>
        <w:rPr>
          <w:rFonts w:ascii="PT Astra Serif" w:hAnsi="PT Astra Serif"/>
          <w:sz w:val="26"/>
          <w:szCs w:val="26"/>
          <w:lang w:eastAsia="zh-CN"/>
        </w:rPr>
        <w:t xml:space="preserve">ах</w:t>
      </w:r>
      <w:r>
        <w:rPr>
          <w:rFonts w:ascii="PT Astra Serif" w:hAnsi="PT Astra Serif"/>
          <w:sz w:val="26"/>
          <w:szCs w:val="26"/>
          <w:lang w:eastAsia="zh-CN"/>
        </w:rPr>
        <w:t xml:space="preserve"> </w:t>
      </w:r>
      <w:r>
        <w:rPr>
          <w:rFonts w:ascii="PT Astra Serif" w:hAnsi="PT Astra Serif"/>
          <w:sz w:val="26"/>
          <w:szCs w:val="26"/>
          <w:lang w:eastAsia="zh-CN"/>
        </w:rPr>
        <w:t xml:space="preserve">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6. </w:t>
      </w:r>
      <w:r>
        <w:rPr>
          <w:rFonts w:ascii="PT Astra Serif" w:hAnsi="PT Astra Serif"/>
          <w:sz w:val="26"/>
          <w:szCs w:val="26"/>
        </w:rPr>
        <w:t xml:space="preserve">О рассмотрении</w:t>
      </w:r>
      <w:r>
        <w:rPr>
          <w:rFonts w:ascii="PT Astra Serif" w:hAnsi="PT Astra Serif"/>
          <w:sz w:val="26"/>
          <w:szCs w:val="26"/>
        </w:rPr>
        <w:t xml:space="preserve"> доклада о результатах проведения </w:t>
      </w:r>
      <w:r>
        <w:rPr>
          <w:rFonts w:ascii="PT Astra Serif" w:hAnsi="PT Astra Serif"/>
          <w:sz w:val="26"/>
          <w:szCs w:val="26"/>
          <w:lang w:eastAsia="ru-RU"/>
        </w:rPr>
        <w:t xml:space="preserve">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  <w:r>
        <w:rPr>
          <w:rFonts w:ascii="PT Astra Serif" w:hAnsi="PT Astra Serif" w:eastAsia="Courier New" w:cs="Times New Roman"/>
          <w:sz w:val="26"/>
          <w:szCs w:val="26"/>
          <w:highlight w:val="none"/>
        </w:rPr>
      </w:r>
      <w:r/>
    </w:p>
    <w:p>
      <w:pPr>
        <w:pStyle w:val="603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Courier New" w:cs="Times New Roman"/>
          <w:sz w:val="26"/>
          <w:szCs w:val="26"/>
          <w:highlight w:val="none"/>
        </w:rPr>
        <w:t xml:space="preserve">7. </w:t>
      </w:r>
      <w:r>
        <w:rPr>
          <w:rFonts w:ascii="PT Astra Serif" w:hAnsi="PT Astra Serif"/>
          <w:sz w:val="26"/>
          <w:szCs w:val="26"/>
        </w:rPr>
        <w:t xml:space="preserve">Об утвержден</w:t>
      </w:r>
      <w:r>
        <w:rPr>
          <w:rFonts w:ascii="PT Astra Serif" w:hAnsi="PT Astra Serif"/>
          <w:sz w:val="26"/>
          <w:szCs w:val="26"/>
        </w:rPr>
        <w:t xml:space="preserve">ии плана работы Комиссии на 2025</w:t>
      </w:r>
      <w:r>
        <w:rPr>
          <w:rFonts w:ascii="PT Astra Serif" w:hAnsi="PT Astra Serif"/>
          <w:sz w:val="26"/>
          <w:szCs w:val="26"/>
        </w:rPr>
        <w:t xml:space="preserve"> год</w:t>
      </w:r>
      <w:r>
        <w:rPr>
          <w:rFonts w:ascii="PT Astra Serif" w:hAnsi="PT Astra Serif" w:eastAsia="Courier New" w:cs="Times New Roman"/>
          <w:sz w:val="26"/>
          <w:szCs w:val="26"/>
          <w:highlight w:val="none"/>
        </w:rPr>
        <w:t xml:space="preserve">.</w:t>
      </w:r>
      <w:r/>
      <w:r/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jc w:val="both"/>
        <w:rPr>
          <w:rFonts w:ascii="PT Astra Serif" w:hAnsi="PT Astra Serif" w:cs="Times New Roman"/>
          <w:b/>
          <w:sz w:val="16"/>
          <w:szCs w:val="16"/>
        </w:rPr>
      </w:pPr>
      <w:r>
        <w:rPr>
          <w:rFonts w:ascii="PT Astra Serif" w:hAnsi="PT Astra Serif" w:cs="Times New Roman"/>
          <w:b/>
          <w:sz w:val="16"/>
          <w:szCs w:val="16"/>
        </w:rPr>
      </w:r>
      <w:r/>
    </w:p>
    <w:p>
      <w:pPr>
        <w:pStyle w:val="603"/>
        <w:jc w:val="both"/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pBdr>
          <w:right w:val="none" w:color="000000" w:sz="0" w:space="2"/>
        </w:pBd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Комиссия РЕШИЛА: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 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</w:r>
      <w:r/>
    </w:p>
    <w:p>
      <w:pPr>
        <w:pStyle w:val="603"/>
        <w:ind w:firstLine="709"/>
        <w:jc w:val="both"/>
        <w:rPr>
          <w:rStyle w:val="636"/>
          <w:rFonts w:ascii="PT Astra Serif" w:hAnsi="PT Astra Serif" w:eastAsia="Courier New" w:cs="Times New Roman"/>
          <w:spacing w:val="-3"/>
          <w:sz w:val="26"/>
          <w:szCs w:val="26"/>
          <w:highlight w:val="none"/>
        </w:rPr>
        <w:pBdr>
          <w:right w:val="none" w:color="000000" w:sz="0" w:space="2"/>
        </w:pBdr>
      </w:pP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По 7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 вопросу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: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утвердить</w:t>
      </w:r>
      <w:r>
        <w:rPr>
          <w:rStyle w:val="636"/>
          <w:rFonts w:ascii="PT Astra Serif" w:hAnsi="PT Astra Serif" w:cs="Times New Roman"/>
          <w:spacing w:val="-3"/>
          <w:sz w:val="26"/>
          <w:szCs w:val="26"/>
        </w:rPr>
        <w:t xml:space="preserve"> </w:t>
      </w:r>
      <w:r>
        <w:rPr>
          <w:rStyle w:val="636"/>
          <w:rFonts w:ascii="PT Astra Serif" w:hAnsi="PT Astra Serif" w:cs="Times New Roman"/>
          <w:spacing w:val="-3"/>
          <w:sz w:val="26"/>
          <w:szCs w:val="26"/>
        </w:rPr>
        <w:t xml:space="preserve">п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лан</w:t>
      </w:r>
      <w:r>
        <w:t xml:space="preserve"> </w:t>
      </w:r>
      <w:r>
        <w:rPr>
          <w:rFonts w:ascii="PT Astra Serif" w:hAnsi="PT Astra Serif"/>
          <w:sz w:val="26"/>
          <w:szCs w:val="26"/>
        </w:rPr>
        <w:t xml:space="preserve">работы Комиссии на 2025</w:t>
      </w:r>
      <w:r>
        <w:rPr>
          <w:rFonts w:ascii="PT Astra Serif" w:hAnsi="PT Astra Serif"/>
          <w:sz w:val="26"/>
          <w:szCs w:val="26"/>
        </w:rPr>
        <w:t xml:space="preserve"> год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.</w:t>
      </w:r>
      <w:r/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636"/>
          <w:rFonts w:ascii="PT Astra Serif" w:hAnsi="PT Astra Serif" w:eastAsia="Courier New" w:cs="Times New Roman"/>
          <w:spacing w:val="-3"/>
          <w:sz w:val="26"/>
          <w:szCs w:val="26"/>
        </w:rPr>
        <w:pBdr>
          <w:right w:val="none" w:color="000000" w:sz="0" w:space="0"/>
        </w:pBdr>
      </w:pP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По 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1-7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 вопросам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: п</w:t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редставленную информацию принять к сведению.</w:t>
      </w:r>
      <w:r/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>
        <w:rPr>
          <w:rStyle w:val="636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</w:p>
    <w:sectPr>
      <w:footnotePr/>
      <w:endnotePr/>
      <w:type w:val="nextPage"/>
      <w:pgSz w:w="11906" w:h="16838" w:orient="portrait"/>
      <w:pgMar w:top="709" w:right="851" w:bottom="73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604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03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3"/>
    <w:next w:val="60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3"/>
    <w:next w:val="60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3"/>
    <w:next w:val="60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3"/>
    <w:next w:val="60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3"/>
    <w:next w:val="60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3"/>
    <w:next w:val="60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3"/>
    <w:next w:val="60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3"/>
    <w:next w:val="60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3"/>
    <w:next w:val="60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3"/>
    <w:next w:val="60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3"/>
    <w:next w:val="60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3"/>
    <w:next w:val="60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3"/>
    <w:next w:val="60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next w:val="603"/>
    <w:link w:val="603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04">
    <w:name w:val="Заголовок 1"/>
    <w:basedOn w:val="644"/>
    <w:next w:val="645"/>
    <w:link w:val="603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605">
    <w:name w:val="Основной шрифт абзаца"/>
    <w:next w:val="605"/>
    <w:link w:val="603"/>
    <w:semiHidden/>
  </w:style>
  <w:style w:type="table" w:styleId="606">
    <w:name w:val="Обычная таблица"/>
    <w:next w:val="606"/>
    <w:link w:val="603"/>
    <w:semiHidden/>
    <w:tblPr/>
  </w:style>
  <w:style w:type="numbering" w:styleId="607">
    <w:name w:val="Нет списка"/>
    <w:next w:val="607"/>
    <w:link w:val="603"/>
    <w:semiHidden/>
  </w:style>
  <w:style w:type="character" w:styleId="608">
    <w:name w:val="WW8Num1z0"/>
    <w:next w:val="608"/>
    <w:link w:val="603"/>
  </w:style>
  <w:style w:type="character" w:styleId="609">
    <w:name w:val="WW8Num1z1"/>
    <w:next w:val="609"/>
    <w:link w:val="603"/>
  </w:style>
  <w:style w:type="character" w:styleId="610">
    <w:name w:val="WW8Num1z2"/>
    <w:next w:val="610"/>
    <w:link w:val="603"/>
  </w:style>
  <w:style w:type="character" w:styleId="611">
    <w:name w:val="WW8Num1z3"/>
    <w:next w:val="611"/>
    <w:link w:val="603"/>
  </w:style>
  <w:style w:type="character" w:styleId="612">
    <w:name w:val="WW8Num1z4"/>
    <w:next w:val="612"/>
    <w:link w:val="603"/>
  </w:style>
  <w:style w:type="character" w:styleId="613">
    <w:name w:val="WW8Num1z5"/>
    <w:next w:val="613"/>
    <w:link w:val="603"/>
  </w:style>
  <w:style w:type="character" w:styleId="614">
    <w:name w:val="WW8Num1z6"/>
    <w:next w:val="614"/>
    <w:link w:val="603"/>
  </w:style>
  <w:style w:type="character" w:styleId="615">
    <w:name w:val="WW8Num1z7"/>
    <w:next w:val="615"/>
    <w:link w:val="603"/>
  </w:style>
  <w:style w:type="character" w:styleId="616">
    <w:name w:val="WW8Num1z8"/>
    <w:next w:val="616"/>
    <w:link w:val="603"/>
  </w:style>
  <w:style w:type="character" w:styleId="617">
    <w:name w:val="WW8Num2z0"/>
    <w:next w:val="617"/>
    <w:link w:val="603"/>
  </w:style>
  <w:style w:type="character" w:styleId="618">
    <w:name w:val="WW8Num2z1"/>
    <w:next w:val="618"/>
    <w:link w:val="603"/>
  </w:style>
  <w:style w:type="character" w:styleId="619">
    <w:name w:val="WW8Num2z2"/>
    <w:next w:val="619"/>
    <w:link w:val="603"/>
  </w:style>
  <w:style w:type="character" w:styleId="620">
    <w:name w:val="WW8Num2z3"/>
    <w:next w:val="620"/>
    <w:link w:val="603"/>
  </w:style>
  <w:style w:type="character" w:styleId="621">
    <w:name w:val="WW8Num2z4"/>
    <w:next w:val="621"/>
    <w:link w:val="603"/>
  </w:style>
  <w:style w:type="character" w:styleId="622">
    <w:name w:val="WW8Num2z5"/>
    <w:next w:val="622"/>
    <w:link w:val="603"/>
  </w:style>
  <w:style w:type="character" w:styleId="623">
    <w:name w:val="WW8Num2z6"/>
    <w:next w:val="623"/>
    <w:link w:val="603"/>
  </w:style>
  <w:style w:type="character" w:styleId="624">
    <w:name w:val="WW8Num2z7"/>
    <w:next w:val="624"/>
    <w:link w:val="603"/>
  </w:style>
  <w:style w:type="character" w:styleId="625">
    <w:name w:val="WW8Num2z8"/>
    <w:next w:val="625"/>
    <w:link w:val="603"/>
  </w:style>
  <w:style w:type="character" w:styleId="626">
    <w:name w:val="WW8Num3z0"/>
    <w:next w:val="626"/>
    <w:link w:val="603"/>
  </w:style>
  <w:style w:type="character" w:styleId="627">
    <w:name w:val="WW8Num3z1"/>
    <w:next w:val="627"/>
    <w:link w:val="603"/>
  </w:style>
  <w:style w:type="character" w:styleId="628">
    <w:name w:val="WW8Num3z2"/>
    <w:next w:val="628"/>
    <w:link w:val="603"/>
  </w:style>
  <w:style w:type="character" w:styleId="629">
    <w:name w:val="WW8Num3z3"/>
    <w:next w:val="629"/>
    <w:link w:val="603"/>
  </w:style>
  <w:style w:type="character" w:styleId="630">
    <w:name w:val="WW8Num3z4"/>
    <w:next w:val="630"/>
    <w:link w:val="603"/>
  </w:style>
  <w:style w:type="character" w:styleId="631">
    <w:name w:val="WW8Num3z5"/>
    <w:next w:val="631"/>
    <w:link w:val="603"/>
  </w:style>
  <w:style w:type="character" w:styleId="632">
    <w:name w:val="WW8Num3z6"/>
    <w:next w:val="632"/>
    <w:link w:val="603"/>
  </w:style>
  <w:style w:type="character" w:styleId="633">
    <w:name w:val="WW8Num3z7"/>
    <w:next w:val="633"/>
    <w:link w:val="603"/>
  </w:style>
  <w:style w:type="character" w:styleId="634">
    <w:name w:val="WW8Num3z8"/>
    <w:next w:val="634"/>
    <w:link w:val="603"/>
  </w:style>
  <w:style w:type="character" w:styleId="635">
    <w:name w:val="Основной шрифт абзаца3"/>
    <w:next w:val="635"/>
    <w:link w:val="603"/>
  </w:style>
  <w:style w:type="character" w:styleId="636">
    <w:name w:val="Основной шрифт абзаца2"/>
    <w:next w:val="636"/>
    <w:link w:val="603"/>
  </w:style>
  <w:style w:type="character" w:styleId="637">
    <w:name w:val="RTF_Num 2 1"/>
    <w:next w:val="637"/>
    <w:link w:val="603"/>
    <w:rPr>
      <w:rFonts w:ascii="Times New Roman" w:hAnsi="Times New Roman" w:cs="Times New Roman"/>
    </w:rPr>
  </w:style>
  <w:style w:type="character" w:styleId="638">
    <w:name w:val="Символ нумерации"/>
    <w:next w:val="638"/>
    <w:link w:val="603"/>
  </w:style>
  <w:style w:type="character" w:styleId="639">
    <w:name w:val="Маркеры списка"/>
    <w:next w:val="639"/>
    <w:link w:val="603"/>
    <w:rPr>
      <w:rFonts w:ascii="OpenSymbol" w:hAnsi="OpenSymbol" w:eastAsia="OpenSymbol" w:cs="OpenSymbol"/>
    </w:rPr>
  </w:style>
  <w:style w:type="character" w:styleId="640">
    <w:name w:val="Строгий"/>
    <w:next w:val="640"/>
    <w:link w:val="603"/>
    <w:uiPriority w:val="22"/>
    <w:qFormat/>
    <w:rPr>
      <w:b/>
      <w:bCs/>
    </w:rPr>
  </w:style>
  <w:style w:type="character" w:styleId="641">
    <w:name w:val="WW_CharLFO1LVL1"/>
    <w:next w:val="641"/>
    <w:link w:val="603"/>
    <w:rPr>
      <w:rFonts w:ascii="Times New Roman" w:hAnsi="Times New Roman" w:cs="Times New Roman"/>
    </w:rPr>
  </w:style>
  <w:style w:type="character" w:styleId="642">
    <w:name w:val="Основной шрифт абзаца1"/>
    <w:next w:val="642"/>
    <w:link w:val="603"/>
  </w:style>
  <w:style w:type="character" w:styleId="643">
    <w:name w:val="Гиперссылка"/>
    <w:next w:val="643"/>
    <w:link w:val="603"/>
    <w:rPr>
      <w:color w:val="000080"/>
      <w:u w:val="single"/>
      <w:lang w:val="en-US" w:eastAsia="en-US" w:bidi="en-US"/>
    </w:rPr>
  </w:style>
  <w:style w:type="paragraph" w:styleId="644">
    <w:name w:val="Заголовок"/>
    <w:basedOn w:val="603"/>
    <w:next w:val="645"/>
    <w:link w:val="603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645">
    <w:name w:val="Основной текст"/>
    <w:basedOn w:val="603"/>
    <w:next w:val="645"/>
    <w:link w:val="668"/>
    <w:pPr>
      <w:spacing w:before="0" w:after="120"/>
    </w:pPr>
  </w:style>
  <w:style w:type="paragraph" w:styleId="646">
    <w:name w:val="Список"/>
    <w:basedOn w:val="645"/>
    <w:next w:val="646"/>
    <w:link w:val="603"/>
    <w:rPr>
      <w:sz w:val="24"/>
    </w:rPr>
  </w:style>
  <w:style w:type="paragraph" w:styleId="647">
    <w:name w:val="Название объекта"/>
    <w:basedOn w:val="603"/>
    <w:next w:val="647"/>
    <w:link w:val="603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648">
    <w:name w:val="Указатель2"/>
    <w:basedOn w:val="603"/>
    <w:next w:val="648"/>
    <w:link w:val="603"/>
    <w:pPr>
      <w:suppressLineNumbers/>
    </w:pPr>
    <w:rPr>
      <w:rFonts w:cs="Mangal"/>
    </w:rPr>
  </w:style>
  <w:style w:type="paragraph" w:styleId="649">
    <w:name w:val="Обычный1"/>
    <w:next w:val="649"/>
    <w:link w:val="603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650">
    <w:name w:val="Название объекта2"/>
    <w:basedOn w:val="603"/>
    <w:next w:val="645"/>
    <w:link w:val="603"/>
    <w:pPr>
      <w:keepNext/>
      <w:spacing w:before="240" w:after="120"/>
    </w:pPr>
    <w:rPr>
      <w:sz w:val="28"/>
      <w:szCs w:val="28"/>
    </w:rPr>
  </w:style>
  <w:style w:type="paragraph" w:styleId="651">
    <w:name w:val="Название"/>
    <w:basedOn w:val="603"/>
    <w:next w:val="645"/>
    <w:link w:val="603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652">
    <w:name w:val="Подзаголовок"/>
    <w:basedOn w:val="650"/>
    <w:next w:val="645"/>
    <w:link w:val="603"/>
    <w:qFormat/>
    <w:pPr>
      <w:jc w:val="center"/>
    </w:pPr>
    <w:rPr>
      <w:i/>
      <w:iCs/>
    </w:rPr>
  </w:style>
  <w:style w:type="paragraph" w:styleId="653">
    <w:name w:val="Название объекта1"/>
    <w:basedOn w:val="603"/>
    <w:next w:val="653"/>
    <w:link w:val="603"/>
    <w:pPr>
      <w:spacing w:before="120" w:after="120"/>
      <w:suppressLineNumbers/>
    </w:pPr>
    <w:rPr>
      <w:i/>
      <w:iCs/>
      <w:sz w:val="24"/>
    </w:rPr>
  </w:style>
  <w:style w:type="paragraph" w:styleId="654">
    <w:name w:val="Указатель1"/>
    <w:basedOn w:val="603"/>
    <w:next w:val="654"/>
    <w:link w:val="603"/>
    <w:pPr>
      <w:suppressLineNumbers/>
    </w:pPr>
    <w:rPr>
      <w:sz w:val="24"/>
    </w:rPr>
  </w:style>
  <w:style w:type="paragraph" w:styleId="655">
    <w:name w:val="Красная строка1"/>
    <w:basedOn w:val="645"/>
    <w:next w:val="655"/>
    <w:link w:val="603"/>
    <w:pPr>
      <w:ind w:left="0" w:right="0" w:firstLine="709"/>
      <w:spacing w:before="0" w:after="0"/>
    </w:pPr>
  </w:style>
  <w:style w:type="paragraph" w:styleId="656">
    <w:name w:val="Содержимое врезки"/>
    <w:basedOn w:val="645"/>
    <w:next w:val="656"/>
    <w:link w:val="603"/>
  </w:style>
  <w:style w:type="paragraph" w:styleId="657">
    <w:name w:val="Содержимое таблицы"/>
    <w:basedOn w:val="603"/>
    <w:next w:val="657"/>
    <w:link w:val="603"/>
    <w:pPr>
      <w:suppressLineNumbers/>
    </w:pPr>
  </w:style>
  <w:style w:type="paragraph" w:styleId="658">
    <w:name w:val="western"/>
    <w:basedOn w:val="603"/>
    <w:next w:val="658"/>
    <w:link w:val="603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659">
    <w:name w:val="Название1"/>
    <w:basedOn w:val="603"/>
    <w:next w:val="659"/>
    <w:link w:val="603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660">
    <w:name w:val="первая-строка-с-отступом-western"/>
    <w:basedOn w:val="603"/>
    <w:next w:val="660"/>
    <w:link w:val="603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661">
    <w:name w:val="Основной текст с отступом"/>
    <w:basedOn w:val="603"/>
    <w:next w:val="661"/>
    <w:link w:val="662"/>
    <w:pPr>
      <w:ind w:left="283"/>
      <w:spacing w:after="120"/>
    </w:pPr>
  </w:style>
  <w:style w:type="character" w:styleId="662">
    <w:name w:val="Основной текст с отступом Знак"/>
    <w:next w:val="662"/>
    <w:link w:val="661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663">
    <w:name w:val="Выделение"/>
    <w:next w:val="663"/>
    <w:link w:val="603"/>
    <w:uiPriority w:val="20"/>
    <w:qFormat/>
    <w:rPr>
      <w:i/>
      <w:iCs/>
    </w:rPr>
  </w:style>
  <w:style w:type="paragraph" w:styleId="664">
    <w:name w:val="Обычный (веб)"/>
    <w:basedOn w:val="603"/>
    <w:next w:val="664"/>
    <w:link w:val="603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665">
    <w:name w:val="Текст выноски"/>
    <w:basedOn w:val="603"/>
    <w:next w:val="665"/>
    <w:link w:val="666"/>
    <w:rPr>
      <w:rFonts w:ascii="Tahoma" w:hAnsi="Tahoma"/>
      <w:sz w:val="16"/>
      <w:szCs w:val="14"/>
    </w:rPr>
  </w:style>
  <w:style w:type="character" w:styleId="666">
    <w:name w:val="Текст выноски Знак"/>
    <w:next w:val="666"/>
    <w:link w:val="665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67">
    <w:name w:val="Красная строка"/>
    <w:basedOn w:val="645"/>
    <w:next w:val="667"/>
    <w:link w:val="669"/>
    <w:pPr>
      <w:ind w:firstLine="210"/>
    </w:pPr>
  </w:style>
  <w:style w:type="character" w:styleId="668">
    <w:name w:val="Основной текст Знак"/>
    <w:next w:val="668"/>
    <w:link w:val="645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669">
    <w:name w:val="Красная строка Знак"/>
    <w:basedOn w:val="668"/>
    <w:next w:val="669"/>
    <w:link w:val="667"/>
  </w:style>
  <w:style w:type="character" w:styleId="670">
    <w:name w:val="Знак примечания"/>
    <w:next w:val="670"/>
    <w:link w:val="603"/>
    <w:rPr>
      <w:sz w:val="16"/>
      <w:szCs w:val="16"/>
    </w:rPr>
  </w:style>
  <w:style w:type="paragraph" w:styleId="671">
    <w:name w:val="Текст примечания"/>
    <w:basedOn w:val="603"/>
    <w:next w:val="671"/>
    <w:link w:val="672"/>
    <w:rPr>
      <w:sz w:val="20"/>
      <w:szCs w:val="18"/>
    </w:rPr>
  </w:style>
  <w:style w:type="character" w:styleId="672">
    <w:name w:val="Текст примечания Знак"/>
    <w:next w:val="672"/>
    <w:link w:val="671"/>
    <w:rPr>
      <w:rFonts w:ascii="Arial" w:hAnsi="Arial" w:eastAsia="Lucida Sans Unicode" w:cs="Mangal"/>
      <w:szCs w:val="18"/>
      <w:lang w:eastAsia="zh-CN" w:bidi="hi-IN"/>
    </w:rPr>
  </w:style>
  <w:style w:type="paragraph" w:styleId="673">
    <w:name w:val="Тема примечания"/>
    <w:basedOn w:val="671"/>
    <w:next w:val="671"/>
    <w:link w:val="674"/>
    <w:rPr>
      <w:b/>
      <w:bCs/>
    </w:rPr>
  </w:style>
  <w:style w:type="character" w:styleId="674">
    <w:name w:val="Тема примечания Знак"/>
    <w:next w:val="674"/>
    <w:link w:val="673"/>
    <w:rPr>
      <w:rFonts w:ascii="Arial" w:hAnsi="Arial" w:eastAsia="Lucida Sans Unicode" w:cs="Mangal"/>
      <w:b/>
      <w:bCs/>
      <w:szCs w:val="18"/>
      <w:lang w:eastAsia="zh-CN" w:bidi="hi-IN"/>
    </w:rPr>
  </w:style>
  <w:style w:type="character" w:styleId="778" w:default="1">
    <w:name w:val="Default Paragraph Font"/>
    <w:uiPriority w:val="1"/>
    <w:semiHidden/>
    <w:unhideWhenUsed/>
  </w:style>
  <w:style w:type="numbering" w:styleId="779" w:default="1">
    <w:name w:val="No List"/>
    <w:uiPriority w:val="99"/>
    <w:semiHidden/>
    <w:unhideWhenUsed/>
  </w:style>
  <w:style w:type="table" w:styleId="78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26</cp:revision>
  <dcterms:created xsi:type="dcterms:W3CDTF">2022-12-22T06:58:00Z</dcterms:created>
  <dcterms:modified xsi:type="dcterms:W3CDTF">2024-12-26T09:04:29Z</dcterms:modified>
  <cp:version>983040</cp:version>
</cp:coreProperties>
</file>