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6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466" w:type="dxa"/>
        <w:tblInd w:w="11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2655"/>
        <w:gridCol w:w="2640"/>
        <w:gridCol w:w="420"/>
        <w:gridCol w:w="781"/>
        <w:gridCol w:w="165"/>
      </w:tblGrid>
      <w:tr>
        <w:trPr/>
        <w:tc>
          <w:tcPr>
            <w:tcBorders>
              <w:bottom w:val="single" w:color="000000" w:sz="2" w:space="0"/>
            </w:tcBorders>
            <w:tcW w:w="2805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28.11.2024</w:t>
            </w:r>
            <w:r/>
          </w:p>
        </w:tc>
        <w:tc>
          <w:tcPr>
            <w:gridSpan w:val="2"/>
            <w:tcW w:w="5295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420" w:type="dxa"/>
            <w:vAlign w:val="top"/>
            <w:textDirection w:val="lrTb"/>
            <w:noWrap w:val="false"/>
          </w:tcPr>
          <w:p>
            <w:pPr>
              <w:pStyle w:val="619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bottom w:val="single" w:color="000000" w:sz="2" w:space="0"/>
            </w:tcBorders>
            <w:tcW w:w="781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395-р</w:t>
            </w:r>
            <w:r/>
          </w:p>
        </w:tc>
        <w:tc>
          <w:tcPr>
            <w:tcW w:w="165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66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установлении ограничительных мероприятий (карантина) по </w:t>
            </w:r>
            <w:r>
              <w:rPr>
                <w:rFonts w:ascii="PT Astra Serif" w:hAnsi="PT Astra Serif"/>
                <w:szCs w:val="28"/>
              </w:rPr>
              <w:t xml:space="preserve">бруцеллезу</w:t>
            </w:r>
            <w:r>
              <w:rPr>
                <w:rFonts w:ascii="PT Astra Serif" w:hAnsi="PT Astra Serif"/>
                <w:szCs w:val="28"/>
              </w:rPr>
              <w:t xml:space="preserve"> на отдельной территории </w:t>
            </w:r>
            <w:r>
              <w:rPr>
                <w:rFonts w:ascii="PT Astra Serif" w:hAnsi="PT Astra Serif"/>
                <w:szCs w:val="28"/>
              </w:rPr>
              <w:t xml:space="preserve">Томского</w:t>
            </w:r>
            <w:r>
              <w:rPr>
                <w:rFonts w:ascii="PT Astra Serif" w:hAnsi="PT Astra Serif"/>
                <w:szCs w:val="28"/>
              </w:rPr>
              <w:t xml:space="preserve"> района Томской области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60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00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статьями </w:t>
      </w:r>
      <w:r>
        <w:rPr>
          <w:rFonts w:ascii="PT Astra Serif" w:hAnsi="PT Astra Serif"/>
          <w:szCs w:val="26"/>
        </w:rPr>
        <w:t xml:space="preserve">3</w:t>
      </w:r>
      <w:r>
        <w:rPr>
          <w:rFonts w:ascii="PT Astra Serif" w:hAnsi="PT Astra Serif"/>
          <w:szCs w:val="26"/>
          <w:vertAlign w:val="superscript"/>
        </w:rPr>
        <w:t xml:space="preserve">1</w:t>
      </w:r>
      <w:r>
        <w:rPr>
          <w:rFonts w:ascii="PT Astra Serif" w:hAnsi="PT Astra Serif"/>
          <w:szCs w:val="26"/>
        </w:rPr>
        <w:t xml:space="preserve">, 17 Закона Российской Федерации </w:t>
        <w:br w:type="textWrapping" w:clear="all"/>
        <w:t xml:space="preserve">от 14 мая 1993 года № 4979-1 «О ветеринарии», </w:t>
      </w:r>
      <w:r>
        <w:rPr>
          <w:rFonts w:ascii="PT Astra Serif" w:hAnsi="PT Astra Serif"/>
          <w:szCs w:val="26"/>
        </w:rPr>
        <w:t xml:space="preserve">п</w:t>
      </w:r>
      <w:r>
        <w:rPr>
          <w:rFonts w:ascii="PT Astra Serif" w:hAnsi="PT Astra Serif"/>
          <w:szCs w:val="26"/>
        </w:rPr>
        <w:t xml:space="preserve">риказом </w:t>
      </w:r>
      <w:r>
        <w:rPr>
          <w:rFonts w:ascii="PT Astra Serif" w:hAnsi="PT Astra Serif"/>
          <w:szCs w:val="26"/>
        </w:rPr>
        <w:t xml:space="preserve">Министерства сельского хозяйства Российской Федерации </w:t>
      </w:r>
      <w:r>
        <w:rPr>
          <w:rFonts w:ascii="PT Astra Serif" w:hAnsi="PT Astra Serif"/>
          <w:szCs w:val="26"/>
        </w:rPr>
        <w:t xml:space="preserve">от 19.12.2011 № 476 «Об утверждении перечня заразных, в том числе особо опасных, болезней животных, по которым могут устанавливаться ограничител</w:t>
      </w:r>
      <w:r>
        <w:rPr>
          <w:rFonts w:ascii="PT Astra Serif" w:hAnsi="PT Astra Serif"/>
          <w:szCs w:val="26"/>
        </w:rPr>
        <w:t xml:space="preserve">ьные мероприятия (карантин)»,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</w:t>
      </w:r>
      <w:r>
        <w:rPr>
          <w:rFonts w:ascii="PT Astra Serif" w:hAnsi="PT Astra Serif"/>
          <w:szCs w:val="26"/>
        </w:rPr>
        <w:t xml:space="preserve">в </w:t>
      </w:r>
      <w:r>
        <w:rPr>
          <w:rFonts w:ascii="PT Astra Serif" w:hAnsi="PT Astra Serif"/>
          <w:szCs w:val="26"/>
        </w:rPr>
        <w:t xml:space="preserve">бруцеллеза (включая инфекционный эпидидимит баранов)</w:t>
      </w:r>
      <w:r>
        <w:rPr>
          <w:rFonts w:ascii="PT Astra Serif" w:hAnsi="PT Astra Serif"/>
          <w:szCs w:val="26"/>
        </w:rPr>
        <w:t xml:space="preserve">, утвержденными п</w:t>
      </w:r>
      <w:r>
        <w:rPr>
          <w:rFonts w:ascii="PT Astra Serif" w:hAnsi="PT Astra Serif"/>
          <w:szCs w:val="26"/>
        </w:rPr>
        <w:t xml:space="preserve">риказом Министерства сельского хозяйства Российской Федерации от </w:t>
      </w:r>
      <w:r>
        <w:rPr>
          <w:rFonts w:ascii="PT Astra Serif" w:hAnsi="PT Astra Serif"/>
          <w:szCs w:val="26"/>
        </w:rPr>
        <w:t xml:space="preserve">08</w:t>
      </w:r>
      <w:r>
        <w:rPr>
          <w:rFonts w:ascii="PT Astra Serif" w:hAnsi="PT Astra Serif"/>
          <w:szCs w:val="26"/>
        </w:rPr>
        <w:t xml:space="preserve">.0</w:t>
      </w:r>
      <w:r>
        <w:rPr>
          <w:rFonts w:ascii="PT Astra Serif" w:hAnsi="PT Astra Serif"/>
          <w:szCs w:val="26"/>
        </w:rPr>
        <w:t xml:space="preserve">9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0</w:t>
      </w:r>
      <w:r>
        <w:rPr>
          <w:rFonts w:ascii="PT Astra Serif" w:hAnsi="PT Astra Serif"/>
          <w:szCs w:val="26"/>
        </w:rPr>
        <w:t xml:space="preserve"> № </w:t>
      </w:r>
      <w:r>
        <w:rPr>
          <w:rFonts w:ascii="PT Astra Serif" w:hAnsi="PT Astra Serif"/>
          <w:szCs w:val="26"/>
        </w:rPr>
        <w:t xml:space="preserve">533</w:t>
      </w:r>
      <w:r>
        <w:rPr>
          <w:rFonts w:ascii="PT Astra Serif" w:hAnsi="PT Astra Serif"/>
          <w:szCs w:val="26"/>
        </w:rPr>
        <w:t xml:space="preserve"> (далее – ветеринарные правила)</w:t>
      </w:r>
      <w:r>
        <w:rPr>
          <w:rFonts w:ascii="PT Astra Serif" w:hAnsi="PT Astra Serif"/>
          <w:szCs w:val="26"/>
        </w:rPr>
        <w:t xml:space="preserve">, Законом Томской области от 12 октября 2005 года № 182-ОЗ «Об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обеспечении эпизоотического и ветеринарно-санитарного </w:t>
      </w:r>
      <w:r>
        <w:rPr>
          <w:rFonts w:ascii="PT Astra Serif" w:hAnsi="PT Astra Serif"/>
          <w:szCs w:val="26"/>
        </w:rPr>
        <w:t xml:space="preserve">благополучия </w:t>
        <w:br w:type="textWrapping" w:clear="all"/>
        <w:t xml:space="preserve">в Томской области»</w:t>
      </w:r>
      <w:r>
        <w:rPr>
          <w:rFonts w:ascii="PT Astra Serif" w:hAnsi="PT Astra Serif"/>
          <w:szCs w:val="26"/>
        </w:rPr>
        <w:t xml:space="preserve">, на основании представления </w:t>
      </w:r>
      <w:r>
        <w:rPr>
          <w:rFonts w:ascii="PT Astra Serif" w:hAnsi="PT Astra Serif"/>
          <w:szCs w:val="26"/>
        </w:rPr>
        <w:t xml:space="preserve">начальника </w:t>
      </w:r>
      <w:r>
        <w:rPr>
          <w:rFonts w:ascii="PT Astra Serif" w:hAnsi="PT Astra Serif"/>
          <w:szCs w:val="28"/>
        </w:rPr>
        <w:t xml:space="preserve">ОГ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У «</w:t>
      </w:r>
      <w:r>
        <w:rPr>
          <w:rFonts w:ascii="PT Astra Serif" w:hAnsi="PT Astra Serif"/>
          <w:szCs w:val="28"/>
        </w:rPr>
        <w:t xml:space="preserve">Томское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р</w:t>
      </w:r>
      <w:r>
        <w:rPr>
          <w:rFonts w:ascii="PT Astra Serif" w:hAnsi="PT Astra Serif"/>
          <w:szCs w:val="28"/>
        </w:rPr>
        <w:t xml:space="preserve">айонное вет</w:t>
      </w:r>
      <w:r>
        <w:rPr>
          <w:rFonts w:ascii="PT Astra Serif" w:hAnsi="PT Astra Serif"/>
          <w:szCs w:val="28"/>
        </w:rPr>
        <w:t xml:space="preserve">еринарное </w:t>
      </w:r>
      <w:r>
        <w:rPr>
          <w:rFonts w:ascii="PT Astra Serif" w:hAnsi="PT Astra Serif"/>
          <w:szCs w:val="28"/>
        </w:rPr>
        <w:t xml:space="preserve">управление» </w:t>
      </w:r>
      <w:r>
        <w:rPr>
          <w:rFonts w:ascii="PT Astra Serif" w:hAnsi="PT Astra Serif"/>
          <w:szCs w:val="28"/>
        </w:rPr>
        <w:t xml:space="preserve">от </w:t>
      </w:r>
      <w:r>
        <w:rPr>
          <w:rFonts w:ascii="PT Astra Serif" w:hAnsi="PT Astra Serif"/>
          <w:szCs w:val="28"/>
        </w:rPr>
        <w:t xml:space="preserve">28.11.2024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№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207: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6"/>
        </w:rPr>
        <w:t xml:space="preserve">1.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У</w:t>
      </w:r>
      <w:r>
        <w:rPr>
          <w:rFonts w:ascii="PT Astra Serif" w:hAnsi="PT Astra Serif"/>
          <w:szCs w:val="26"/>
        </w:rPr>
        <w:t xml:space="preserve">становить ограничительные</w:t>
      </w:r>
      <w:r>
        <w:rPr>
          <w:rFonts w:ascii="PT Astra Serif" w:hAnsi="PT Astra Serif"/>
          <w:szCs w:val="26"/>
        </w:rPr>
        <w:t xml:space="preserve"> мероприятия (карантин) по </w:t>
      </w:r>
      <w:r>
        <w:rPr>
          <w:rFonts w:ascii="PT Astra Serif" w:hAnsi="PT Astra Serif"/>
          <w:szCs w:val="26"/>
        </w:rPr>
        <w:t xml:space="preserve">бруцеллезу</w:t>
      </w:r>
      <w:r>
        <w:rPr>
          <w:rFonts w:ascii="PT Astra Serif" w:hAnsi="PT Astra Serif"/>
          <w:szCs w:val="26"/>
        </w:rPr>
        <w:t xml:space="preserve">, </w:t>
      </w:r>
      <w:r>
        <w:rPr>
          <w:rStyle w:val="625"/>
          <w:rFonts w:ascii="PT Astra Serif" w:hAnsi="PT Astra Serif"/>
          <w:szCs w:val="28"/>
        </w:rPr>
        <w:t xml:space="preserve">на отдельной территории Томского района Томской</w:t>
      </w:r>
      <w:r>
        <w:rPr>
          <w:rStyle w:val="625"/>
          <w:rFonts w:ascii="PT Astra Serif" w:hAnsi="PT Astra Serif"/>
          <w:szCs w:val="28"/>
        </w:rPr>
        <w:t xml:space="preserve"> области</w:t>
      </w:r>
      <w:r>
        <w:rPr>
          <w:rStyle w:val="625"/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У</w:t>
      </w:r>
      <w:r>
        <w:rPr>
          <w:rFonts w:ascii="PT Astra Serif" w:hAnsi="PT Astra Serif"/>
          <w:szCs w:val="26"/>
        </w:rPr>
        <w:t xml:space="preserve">становить границы:</w:t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эпизоотического очага: </w:t>
      </w:r>
      <w:r>
        <w:rPr>
          <w:rFonts w:ascii="PT Astra Serif" w:hAnsi="PT Astra Serif"/>
          <w:szCs w:val="26"/>
        </w:rPr>
        <w:t xml:space="preserve">в пределах</w:t>
      </w:r>
      <w:r>
        <w:rPr>
          <w:rFonts w:ascii="PT Astra Serif" w:hAnsi="PT Astra Serif"/>
          <w:szCs w:val="26"/>
        </w:rPr>
        <w:t xml:space="preserve"> </w:t>
      </w:r>
      <w:r>
        <w:rPr>
          <w:rStyle w:val="625"/>
          <w:rFonts w:ascii="PT Astra Serif" w:hAnsi="PT Astra Serif"/>
          <w:szCs w:val="28"/>
        </w:rPr>
        <w:t xml:space="preserve">крестьянско-фермерского хозяйства (далее-КФХ) </w:t>
      </w:r>
      <w:r>
        <w:rPr>
          <w:rStyle w:val="625"/>
          <w:rFonts w:ascii="PT Astra Serif" w:hAnsi="PT Astra Serif"/>
          <w:szCs w:val="28"/>
          <w:lang w:val="en-US"/>
        </w:rPr>
        <w:t xml:space="preserve">&lt;</w:t>
      </w:r>
      <w:r>
        <w:rPr>
          <w:rStyle w:val="625"/>
          <w:rFonts w:ascii="PT Astra Serif" w:hAnsi="PT Astra Serif"/>
          <w:szCs w:val="28"/>
          <w:lang w:val="ru-RU"/>
        </w:rPr>
        <w:t xml:space="preserve">фамилия, имя, отчество</w:t>
      </w:r>
      <w:r>
        <w:rPr>
          <w:rStyle w:val="625"/>
          <w:rFonts w:ascii="PT Astra Serif" w:hAnsi="PT Astra Serif"/>
          <w:szCs w:val="28"/>
          <w:lang w:val="en-US"/>
        </w:rPr>
        <w:t xml:space="preserve">&gt;</w:t>
      </w:r>
      <w:r>
        <w:rPr>
          <w:rStyle w:val="625"/>
          <w:rFonts w:ascii="PT Astra Serif" w:hAnsi="PT Astra Serif"/>
          <w:szCs w:val="28"/>
        </w:rPr>
        <w:t xml:space="preserve">, расположенного по адресу:</w:t>
      </w:r>
      <w:r>
        <w:rPr>
          <w:rStyle w:val="625"/>
          <w:rFonts w:ascii="PT Astra Serif" w:hAnsi="PT Astra Serif"/>
          <w:szCs w:val="28"/>
        </w:rPr>
        <w:t xml:space="preserve"> </w:t>
      </w:r>
      <w:r>
        <w:rPr>
          <w:rStyle w:val="625"/>
          <w:rFonts w:ascii="PT Astra Serif" w:hAnsi="PT Astra Serif"/>
          <w:szCs w:val="28"/>
        </w:rPr>
        <w:t xml:space="preserve">Томская область, Томский район, с. </w:t>
      </w:r>
      <w:r>
        <w:rPr>
          <w:rStyle w:val="625"/>
          <w:rFonts w:ascii="PT Astra Serif" w:hAnsi="PT Astra Serif"/>
          <w:szCs w:val="28"/>
        </w:rPr>
        <w:t xml:space="preserve">Семилужки</w:t>
      </w:r>
      <w:r>
        <w:rPr>
          <w:rStyle w:val="625"/>
          <w:rFonts w:ascii="PT Astra Serif" w:hAnsi="PT Astra Serif"/>
          <w:szCs w:val="28"/>
        </w:rPr>
        <w:t xml:space="preserve">, </w:t>
      </w:r>
      <w:r>
        <w:rPr>
          <w:rStyle w:val="625"/>
          <w:rFonts w:ascii="PT Astra Serif" w:hAnsi="PT Astra Serif"/>
          <w:szCs w:val="28"/>
          <w:lang w:val="en-US"/>
        </w:rPr>
        <w:t xml:space="preserve">&lt;</w:t>
      </w:r>
      <w:r>
        <w:rPr>
          <w:rStyle w:val="625"/>
          <w:rFonts w:ascii="PT Astra Serif" w:hAnsi="PT Astra Serif"/>
          <w:szCs w:val="28"/>
        </w:rPr>
        <w:t xml:space="preserve">адрес</w:t>
      </w:r>
      <w:r>
        <w:rPr>
          <w:rStyle w:val="625"/>
          <w:rFonts w:ascii="PT Astra Serif" w:hAnsi="PT Astra Serif"/>
          <w:szCs w:val="28"/>
          <w:lang w:val="en-US"/>
        </w:rPr>
        <w:t xml:space="preserve">&gt;</w:t>
      </w:r>
      <w:r>
        <w:rPr>
          <w:rStyle w:val="625"/>
          <w:rFonts w:ascii="PT Astra Serif" w:hAnsi="PT Astra Serif"/>
          <w:szCs w:val="28"/>
        </w:rPr>
        <w:t xml:space="preserve">, координаты </w:t>
      </w:r>
      <w:r>
        <w:rPr>
          <w:rStyle w:val="625"/>
          <w:rFonts w:ascii="PT Astra Serif" w:hAnsi="PT Astra Serif"/>
          <w:szCs w:val="28"/>
        </w:rPr>
        <w:t xml:space="preserve">(</w:t>
      </w:r>
      <w:r>
        <w:rPr>
          <w:rStyle w:val="625"/>
          <w:rFonts w:ascii="PT Astra Serif" w:hAnsi="PT Astra Serif"/>
          <w:szCs w:val="28"/>
          <w:lang w:val="en-US"/>
        </w:rPr>
        <w:t xml:space="preserve">&lt;</w:t>
      </w:r>
      <w:r>
        <w:rPr>
          <w:rStyle w:val="625"/>
          <w:rFonts w:ascii="PT Astra Serif" w:hAnsi="PT Astra Serif"/>
          <w:szCs w:val="28"/>
          <w:lang w:val="en-US"/>
        </w:rPr>
        <w:t xml:space="preserve">N&gt;</w:t>
      </w:r>
      <w:r>
        <w:rPr>
          <w:rStyle w:val="625"/>
          <w:rFonts w:ascii="PT Astra Serif" w:hAnsi="PT Astra Serif"/>
          <w:szCs w:val="28"/>
        </w:rPr>
        <w:t xml:space="preserve">, </w:t>
      </w:r>
      <w:r>
        <w:rPr>
          <w:rStyle w:val="625"/>
          <w:rFonts w:ascii="PT Astra Serif" w:hAnsi="PT Astra Serif"/>
          <w:szCs w:val="28"/>
          <w:lang w:val="en-US"/>
        </w:rPr>
        <w:t xml:space="preserve">&lt;</w:t>
      </w:r>
      <w:r>
        <w:rPr>
          <w:rStyle w:val="625"/>
          <w:rFonts w:ascii="PT Astra Serif" w:hAnsi="PT Astra Serif"/>
          <w:szCs w:val="28"/>
        </w:rPr>
        <w:t xml:space="preserve">Е</w:t>
      </w:r>
      <w:r>
        <w:rPr>
          <w:rStyle w:val="625"/>
          <w:rFonts w:ascii="PT Astra Serif" w:hAnsi="PT Astra Serif"/>
          <w:szCs w:val="28"/>
          <w:lang w:val="en-US"/>
        </w:rPr>
        <w:t xml:space="preserve">&gt;</w:t>
      </w:r>
      <w:r>
        <w:rPr>
          <w:rStyle w:val="625"/>
          <w:rFonts w:ascii="PT Astra Serif" w:hAnsi="PT Astra Serif"/>
          <w:szCs w:val="28"/>
        </w:rPr>
        <w:t xml:space="preserve">);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неблагополучного пункта: </w:t>
      </w:r>
      <w:r>
        <w:rPr>
          <w:rFonts w:ascii="PT Astra Serif" w:hAnsi="PT Astra Serif"/>
          <w:szCs w:val="26"/>
        </w:rPr>
        <w:t xml:space="preserve">территорию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Воронинского сельского поселения Томского</w:t>
      </w:r>
      <w:r>
        <w:rPr>
          <w:rFonts w:ascii="PT Astra Serif" w:hAnsi="PT Astra Serif"/>
          <w:szCs w:val="26"/>
        </w:rPr>
        <w:t xml:space="preserve"> район</w:t>
      </w:r>
      <w:r>
        <w:rPr>
          <w:rFonts w:ascii="PT Astra Serif" w:hAnsi="PT Astra Serif"/>
          <w:szCs w:val="26"/>
        </w:rPr>
        <w:t xml:space="preserve">а</w:t>
      </w:r>
      <w:r>
        <w:rPr>
          <w:rFonts w:ascii="PT Astra Serif" w:hAnsi="PT Astra Serif"/>
          <w:szCs w:val="26"/>
        </w:rPr>
        <w:t xml:space="preserve"> Томской области.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Style w:val="625"/>
          <w:rFonts w:ascii="PT Astra Serif" w:hAnsi="PT Astra Serif"/>
          <w:szCs w:val="28"/>
        </w:rPr>
        <w:t xml:space="preserve">3</w:t>
      </w:r>
      <w:r>
        <w:rPr>
          <w:rStyle w:val="625"/>
          <w:rFonts w:ascii="PT Astra Serif" w:hAnsi="PT Astra Serif"/>
          <w:szCs w:val="28"/>
        </w:rPr>
        <w:t xml:space="preserve">. В</w:t>
      </w:r>
      <w:r>
        <w:rPr>
          <w:rFonts w:ascii="PT Astra Serif" w:hAnsi="PT Astra Serif"/>
          <w:szCs w:val="26"/>
        </w:rPr>
        <w:t xml:space="preserve"> эпизоотическом очаге на период действия ограничительных</w:t>
      </w:r>
      <w:r>
        <w:rPr>
          <w:rFonts w:ascii="PT Astra Serif" w:hAnsi="PT Astra Serif"/>
          <w:szCs w:val="26"/>
        </w:rPr>
        <w:t xml:space="preserve"> мероприятий (карантина) по </w:t>
      </w:r>
      <w:r>
        <w:rPr>
          <w:rFonts w:ascii="PT Astra Serif" w:hAnsi="PT Astra Serif"/>
          <w:szCs w:val="26"/>
        </w:rPr>
        <w:t xml:space="preserve">бруцеллезу</w:t>
      </w:r>
      <w:r>
        <w:rPr>
          <w:rFonts w:ascii="PT Astra Serif" w:hAnsi="PT Astra Serif"/>
          <w:szCs w:val="26"/>
        </w:rPr>
        <w:t xml:space="preserve"> запрещается</w:t>
      </w:r>
      <w:r>
        <w:rPr>
          <w:rFonts w:ascii="PT Astra Serif" w:hAnsi="PT Astra Serif"/>
          <w:szCs w:val="26"/>
        </w:rPr>
        <w:t xml:space="preserve">: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а) </w:t>
      </w:r>
      <w:r>
        <w:rPr>
          <w:rStyle w:val="625"/>
          <w:rFonts w:ascii="PT Astra Serif" w:hAnsi="PT Astra Serif"/>
          <w:szCs w:val="28"/>
        </w:rPr>
        <w:t xml:space="preserve">лечение больных животных;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б) посещение территории посторонними лицами, кроме персонала, выполняющего производственные (технологические) операции, в том числе по обслуживанию животных, специалистов госветслужбы и привлеченного персонала для ликвидации эпизоотического очага</w:t>
      </w:r>
      <w:r>
        <w:rPr>
          <w:rStyle w:val="625"/>
          <w:rFonts w:ascii="PT Astra Serif" w:hAnsi="PT Astra Serif"/>
          <w:szCs w:val="28"/>
        </w:rPr>
        <w:t xml:space="preserve">, лиц, проживающих и (или) временно пребывающих на территории, признанной эпизоотическим очагом;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в) ввоз (ввод) и вывоз (вывод) животных, за исключением вывоза животных на убой на предприятия по убою или оборудованные для этих целей убойные пункты (площадки);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г) вывоз и использование молока, за исключением молока, прошедшего термическую обработку в соответствии с п. 14 ветеринарных правил;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д) доение овец</w:t>
      </w:r>
      <w:r>
        <w:rPr>
          <w:rStyle w:val="625"/>
          <w:rFonts w:ascii="PT Astra Serif" w:hAnsi="PT Astra Serif"/>
          <w:szCs w:val="28"/>
        </w:rPr>
        <w:t xml:space="preserve"> и коз</w:t>
      </w:r>
      <w:r>
        <w:rPr>
          <w:rStyle w:val="625"/>
          <w:rFonts w:ascii="PT Astra Serif" w:hAnsi="PT Astra Serif"/>
          <w:szCs w:val="28"/>
        </w:rPr>
        <w:t xml:space="preserve">, изготовление сыров из овечьего</w:t>
      </w:r>
      <w:r>
        <w:rPr>
          <w:rStyle w:val="625"/>
          <w:rFonts w:ascii="PT Astra Serif" w:hAnsi="PT Astra Serif"/>
          <w:szCs w:val="28"/>
        </w:rPr>
        <w:t xml:space="preserve"> (козьего)</w:t>
      </w:r>
      <w:r>
        <w:rPr>
          <w:rStyle w:val="625"/>
          <w:rFonts w:ascii="PT Astra Serif" w:hAnsi="PT Astra Serif"/>
          <w:szCs w:val="28"/>
        </w:rPr>
        <w:t xml:space="preserve"> молока;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е) выпас (выгул), перемещение и перегруппировка животных;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ё) </w:t>
      </w:r>
      <w:r>
        <w:rPr>
          <w:rStyle w:val="625"/>
          <w:rFonts w:ascii="PT Astra Serif" w:hAnsi="PT Astra Serif"/>
          <w:szCs w:val="28"/>
        </w:rPr>
        <w:t xml:space="preserve">заготовка и вывоз кормов, с которыми могли иметь контакт больные животные;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ж) вывоз инвентаря и иных материально-технических средств;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з) использование больных животных и полученного от них приплода для разведения;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и) использование водоемов, не связанных с другими поверхностными водными объектами, для водопоя здоровых животных в течение 90 календарных дней после последнего поения из них больных животных;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к) </w:t>
      </w:r>
      <w:r>
        <w:rPr>
          <w:rStyle w:val="625"/>
          <w:rFonts w:ascii="PT Astra Serif" w:hAnsi="PT Astra Serif"/>
          <w:szCs w:val="28"/>
        </w:rPr>
        <w:t xml:space="preserve">въезд и выезд транспортных средств (за исключением транспортных средств, задействованных в мероприятиях по ликвидации эпизоотического очага и (или) по обеспечению жизнедеятельности людей;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4. </w:t>
      </w:r>
      <w:r>
        <w:rPr>
          <w:rStyle w:val="625"/>
          <w:rFonts w:ascii="PT Astra Serif" w:hAnsi="PT Astra Serif"/>
          <w:szCs w:val="28"/>
        </w:rPr>
        <w:t xml:space="preserve">П</w:t>
      </w:r>
      <w:r>
        <w:rPr>
          <w:rStyle w:val="625"/>
          <w:rFonts w:ascii="PT Astra Serif" w:hAnsi="PT Astra Serif"/>
          <w:szCs w:val="28"/>
        </w:rPr>
        <w:t xml:space="preserve">ерсонал, имеющий на руках, лице и </w:t>
      </w:r>
      <w:r>
        <w:rPr>
          <w:rStyle w:val="625"/>
          <w:rFonts w:ascii="PT Astra Serif" w:hAnsi="PT Astra Serif"/>
          <w:szCs w:val="28"/>
        </w:rPr>
        <w:t xml:space="preserve">других открытых участках т</w:t>
      </w:r>
      <w:r>
        <w:rPr>
          <w:rStyle w:val="625"/>
          <w:rFonts w:ascii="PT Astra Serif" w:hAnsi="PT Astra Serif"/>
          <w:szCs w:val="28"/>
        </w:rPr>
        <w:t xml:space="preserve">ела царапины, ссадины, ранения или иные повреждения кожи, к работе по уходу за больными животными, уборке трупов животных и абортированных плодов, очистке и дезинфекции помещений и прочих объектов, с которыми контактировали больные животные не допускается.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54"/>
        <w:ind w:firstLine="709"/>
      </w:pPr>
      <w:r>
        <w:rPr>
          <w:szCs w:val="28"/>
        </w:rPr>
        <w:t xml:space="preserve">5</w:t>
      </w:r>
      <w:r>
        <w:rPr>
          <w:szCs w:val="28"/>
        </w:rPr>
        <w:t xml:space="preserve">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В</w:t>
      </w:r>
      <w:r>
        <w:rPr>
          <w:rFonts w:ascii="PT Astra Serif" w:hAnsi="PT Astra Serif"/>
          <w:szCs w:val="26"/>
        </w:rPr>
        <w:t xml:space="preserve"> неблагополучном пункте </w:t>
      </w:r>
      <w:r>
        <w:rPr>
          <w:rFonts w:ascii="PT Astra Serif" w:hAnsi="PT Astra Serif"/>
          <w:szCs w:val="26"/>
        </w:rPr>
        <w:t xml:space="preserve">на период действия ограничительных мероприятий (карантина) по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бруцеллезу</w:t>
      </w:r>
      <w:r>
        <w:rPr>
          <w:rFonts w:ascii="PT Astra Serif" w:hAnsi="PT Astra Serif"/>
          <w:szCs w:val="26"/>
        </w:rPr>
        <w:t xml:space="preserve"> запрещается</w:t>
      </w:r>
      <w:r>
        <w:rPr>
          <w:szCs w:val="28"/>
        </w:rPr>
        <w:t xml:space="preserve">: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а) </w:t>
      </w:r>
      <w:r>
        <w:rPr>
          <w:rStyle w:val="625"/>
          <w:rFonts w:ascii="PT Astra Serif" w:hAnsi="PT Astra Serif"/>
          <w:szCs w:val="28"/>
        </w:rPr>
        <w:t xml:space="preserve">проведение сельскохозяйственных ярмарок, выставок (аукционов) и других </w:t>
      </w:r>
      <w:r>
        <w:rPr>
          <w:rStyle w:val="625"/>
          <w:rFonts w:ascii="PT Astra Serif" w:hAnsi="PT Astra Serif"/>
          <w:szCs w:val="28"/>
        </w:rPr>
        <w:t xml:space="preserve">мероприятий</w:t>
      </w:r>
      <w:r>
        <w:rPr>
          <w:rStyle w:val="625"/>
          <w:rFonts w:ascii="PT Astra Serif" w:hAnsi="PT Astra Serif"/>
          <w:szCs w:val="28"/>
        </w:rPr>
        <w:t xml:space="preserve">, связанных с </w:t>
      </w:r>
      <w:r>
        <w:rPr>
          <w:rStyle w:val="625"/>
          <w:rFonts w:ascii="PT Astra Serif" w:hAnsi="PT Astra Serif"/>
          <w:szCs w:val="28"/>
        </w:rPr>
        <w:t xml:space="preserve">перемещением и скоплением животных</w:t>
      </w:r>
      <w:r>
        <w:rPr>
          <w:rStyle w:val="625"/>
          <w:rFonts w:ascii="PT Astra Serif" w:hAnsi="PT Astra Serif"/>
          <w:szCs w:val="28"/>
        </w:rPr>
        <w:t xml:space="preserve">.</w:t>
      </w:r>
      <w:r/>
    </w:p>
    <w:p>
      <w:pPr>
        <w:pStyle w:val="619"/>
        <w:rPr>
          <w:rFonts w:cs="Times New Roman"/>
          <w:szCs w:val="28"/>
        </w:rPr>
      </w:pPr>
      <w:r>
        <w:rPr>
          <w:rStyle w:val="625"/>
          <w:rFonts w:ascii="PT Astra Serif" w:hAnsi="PT Astra Serif"/>
          <w:szCs w:val="28"/>
        </w:rPr>
        <w:tab/>
      </w:r>
      <w:r>
        <w:rPr>
          <w:rStyle w:val="625"/>
          <w:rFonts w:ascii="PT Astra Serif" w:hAnsi="PT Astra Serif"/>
          <w:szCs w:val="28"/>
        </w:rPr>
        <w:t xml:space="preserve">6</w:t>
      </w:r>
      <w:r>
        <w:rPr>
          <w:rStyle w:val="625"/>
          <w:rFonts w:ascii="PT Astra Serif" w:hAnsi="PT Astra Serif"/>
          <w:szCs w:val="28"/>
        </w:rPr>
        <w:t xml:space="preserve">.</w:t>
      </w:r>
      <w:r>
        <w:rPr>
          <w:rStyle w:val="625"/>
          <w:rFonts w:ascii="PT Astra Serif" w:hAnsi="PT Astra Serif"/>
          <w:szCs w:val="28"/>
        </w:rPr>
        <w:t xml:space="preserve"> </w:t>
      </w:r>
      <w:r>
        <w:rPr>
          <w:rStyle w:val="625"/>
          <w:rFonts w:ascii="PT Astra Serif" w:hAnsi="PT Astra Serif"/>
          <w:szCs w:val="28"/>
        </w:rPr>
        <w:t xml:space="preserve">У</w:t>
      </w:r>
      <w:r>
        <w:rPr>
          <w:szCs w:val="28"/>
        </w:rPr>
        <w:t xml:space="preserve">твердить план мероприятий </w:t>
      </w:r>
      <w:r>
        <w:rPr>
          <w:rStyle w:val="625"/>
          <w:rFonts w:ascii="PT Astra Serif" w:hAnsi="PT Astra Serif"/>
          <w:szCs w:val="28"/>
        </w:rPr>
        <w:t xml:space="preserve">по </w:t>
      </w:r>
      <w:r>
        <w:rPr>
          <w:rStyle w:val="625"/>
          <w:rFonts w:ascii="PT Astra Serif" w:hAnsi="PT Astra Serif"/>
          <w:szCs w:val="28"/>
        </w:rPr>
        <w:t xml:space="preserve">ликвидации эпизоотического очага </w:t>
      </w:r>
      <w:r>
        <w:rPr>
          <w:rStyle w:val="625"/>
          <w:rFonts w:ascii="PT Astra Serif" w:hAnsi="PT Astra Serif"/>
          <w:szCs w:val="28"/>
        </w:rPr>
        <w:t xml:space="preserve">бруцеллеза</w:t>
      </w:r>
      <w:r>
        <w:rPr>
          <w:rStyle w:val="625"/>
          <w:rFonts w:ascii="PT Astra Serif" w:hAnsi="PT Astra Serif"/>
          <w:szCs w:val="28"/>
        </w:rPr>
        <w:t xml:space="preserve"> и предотвращению</w:t>
      </w:r>
      <w:r>
        <w:rPr>
          <w:rStyle w:val="625"/>
          <w:rFonts w:ascii="PT Astra Serif" w:hAnsi="PT Astra Serif"/>
          <w:szCs w:val="28"/>
        </w:rPr>
        <w:t xml:space="preserve"> распространения возбудителя</w:t>
      </w:r>
      <w:r>
        <w:rPr>
          <w:rStyle w:val="625"/>
          <w:rFonts w:ascii="PT Astra Serif" w:hAnsi="PT Astra Serif"/>
          <w:szCs w:val="28"/>
        </w:rPr>
        <w:t xml:space="preserve"> (далее - План)</w:t>
      </w:r>
      <w:r>
        <w:rPr>
          <w:rStyle w:val="625"/>
          <w:rFonts w:ascii="PT Astra Serif" w:hAnsi="PT Astra Serif"/>
          <w:szCs w:val="28"/>
        </w:rPr>
        <w:t xml:space="preserve">, </w:t>
      </w:r>
      <w:r>
        <w:rPr>
          <w:rFonts w:cs="Times New Roman"/>
          <w:szCs w:val="28"/>
        </w:rPr>
        <w:t xml:space="preserve">согласно </w:t>
      </w:r>
      <w:r>
        <w:rPr>
          <w:rFonts w:cs="Times New Roman"/>
          <w:szCs w:val="28"/>
        </w:rPr>
        <w:t xml:space="preserve">приложению</w:t>
      </w:r>
      <w:r>
        <w:rPr>
          <w:rFonts w:cs="Times New Roman"/>
          <w:szCs w:val="28"/>
        </w:rPr>
        <w:t xml:space="preserve"> к настоящему распоряжению. </w:t>
      </w:r>
      <w:r>
        <w:rPr>
          <w:rFonts w:cs="Times New Roman"/>
          <w:szCs w:val="28"/>
        </w:rPr>
      </w:r>
      <w:r/>
    </w:p>
    <w:p>
      <w:pPr>
        <w:pStyle w:val="619"/>
        <w:rPr>
          <w:rStyle w:val="625"/>
          <w:rFonts w:ascii="PT Astra Serif" w:hAnsi="PT Astra Serif"/>
          <w:szCs w:val="28"/>
        </w:rPr>
      </w:pP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 xml:space="preserve">7</w:t>
      </w:r>
      <w:r>
        <w:rPr>
          <w:rFonts w:cs="Times New Roman"/>
          <w:szCs w:val="28"/>
        </w:rPr>
        <w:t xml:space="preserve">. </w:t>
      </w:r>
      <w:r>
        <w:rPr>
          <w:rFonts w:cs="Times New Roman"/>
          <w:szCs w:val="28"/>
        </w:rPr>
        <w:t xml:space="preserve">Отменить ограничительные мероприятия (карантин) после убоя последнего больного животного</w:t>
      </w:r>
      <w:r>
        <w:rPr>
          <w:rFonts w:cs="Times New Roman"/>
          <w:szCs w:val="28"/>
        </w:rPr>
        <w:t xml:space="preserve">, приплода последнего больного животного</w:t>
      </w:r>
      <w:r>
        <w:rPr>
          <w:rFonts w:cs="Times New Roman"/>
          <w:szCs w:val="28"/>
        </w:rPr>
        <w:t xml:space="preserve"> и проведения других мероприятий, предусмотренных ветеринарными правилами.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8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  <w:t xml:space="preserve"> </w:t>
      </w:r>
      <w:r>
        <w:rPr>
          <w:rFonts w:ascii="PT Astra Serif" w:hAnsi="PT Astra Serif"/>
          <w:szCs w:val="28"/>
        </w:rPr>
        <w:t xml:space="preserve">Контроль за исполнением настоящего распоряжения возложить на </w:t>
      </w:r>
      <w:r>
        <w:rPr>
          <w:rFonts w:ascii="PT Astra Serif" w:hAnsi="PT Astra Serif"/>
          <w:szCs w:val="28"/>
        </w:rPr>
        <w:t xml:space="preserve">заместителя начальника, </w:t>
      </w:r>
      <w:r>
        <w:rPr>
          <w:rFonts w:ascii="PT Astra Serif" w:hAnsi="PT Astra Serif"/>
          <w:szCs w:val="28"/>
        </w:rPr>
        <w:t xml:space="preserve">председателя комитета организации ветеринарной деятельности.</w:t>
      </w:r>
      <w:r>
        <w:rPr>
          <w:rFonts w:ascii="PT Astra Serif" w:hAnsi="PT Astra Serif"/>
        </w:rPr>
      </w:r>
      <w:r/>
    </w:p>
    <w:p>
      <w:pPr>
        <w:pStyle w:val="619"/>
        <w:ind w:firstLine="66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42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7"/>
        <w:rPr>
          <w:rFonts w:ascii="PT Astra Serif" w:hAnsi="PT Astra Serif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 департамента</w:t>
      </w:r>
      <w:r>
        <w:rPr>
          <w:rFonts w:ascii="PT Astra Serif" w:hAnsi="PT Astra Serif"/>
          <w:szCs w:val="28"/>
        </w:rPr>
        <w:t xml:space="preserve">                    </w:t>
      </w:r>
      <w:r>
        <w:rPr>
          <w:rFonts w:ascii="PT Astra Serif" w:hAnsi="PT Astra Serif"/>
          <w:szCs w:val="28"/>
        </w:rPr>
        <w:t xml:space="preserve">                         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 xml:space="preserve">         В.В.Табакаев</w:t>
      </w:r>
      <w:r>
        <w:rPr>
          <w:rFonts w:ascii="PT Astra Serif" w:hAnsi="PT Astra Serif"/>
        </w:rPr>
      </w:r>
    </w:p>
    <w:p>
      <w:pPr>
        <w:pStyle w:val="619"/>
        <w:ind w:left="9882" w:firstLine="26"/>
      </w:pPr>
      <w:r>
        <w:rPr>
          <w:rFonts w:ascii="PT Astra Serif" w:hAnsi="PT Astra Serif"/>
          <w:sz w:val="28"/>
          <w:szCs w:val="28"/>
        </w:rPr>
        <w:t xml:space="preserve">Приложение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ind w:left="9882" w:firstLine="26"/>
        <w:jc w:val="left"/>
      </w:pPr>
      <w:r>
        <w:rPr>
          <w:rFonts w:ascii="PT Astra Serif" w:hAnsi="PT Astra Serif"/>
          <w:sz w:val="28"/>
          <w:szCs w:val="28"/>
        </w:rPr>
        <w:t xml:space="preserve">к распоряжению Департамента </w:t>
      </w:r>
      <w:r>
        <w:rPr>
          <w:rFonts w:ascii="PT Astra Serif" w:hAnsi="PT Astra Serif"/>
          <w:sz w:val="28"/>
          <w:szCs w:val="28"/>
        </w:rPr>
        <w:t xml:space="preserve">ветеринарии Томской области</w:t>
      </w:r>
      <w:r>
        <w:rPr>
          <w:rFonts w:ascii="PT Astra Serif" w:hAnsi="PT Astra Serif"/>
        </w:rPr>
      </w:r>
      <w:r/>
    </w:p>
    <w:p>
      <w:pPr>
        <w:pStyle w:val="619"/>
        <w:ind w:left="9882" w:firstLine="26"/>
        <w:rPr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  <w:lang w:val="en-US"/>
        </w:rPr>
        <w:t xml:space="preserve">28</w:t>
      </w:r>
      <w:r>
        <w:rPr>
          <w:rFonts w:ascii="PT Astra Serif" w:hAnsi="PT Astra Serif"/>
          <w:sz w:val="28"/>
          <w:szCs w:val="28"/>
          <w:lang w:val="ru-RU"/>
        </w:rPr>
        <w:t xml:space="preserve">.</w:t>
      </w:r>
      <w:r>
        <w:rPr>
          <w:rFonts w:ascii="PT Astra Serif" w:hAnsi="PT Astra Serif"/>
          <w:sz w:val="28"/>
          <w:szCs w:val="28"/>
          <w:lang w:val="en-US"/>
        </w:rPr>
        <w:t xml:space="preserve">11</w:t>
      </w:r>
      <w:r>
        <w:rPr>
          <w:rFonts w:ascii="PT Astra Serif" w:hAnsi="PT Astra Serif"/>
          <w:sz w:val="28"/>
          <w:szCs w:val="28"/>
          <w:lang w:val="ru-RU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202</w:t>
      </w:r>
      <w:r>
        <w:rPr>
          <w:rFonts w:ascii="PT Astra Serif" w:hAnsi="PT Astra Serif"/>
          <w:sz w:val="28"/>
          <w:szCs w:val="28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 г</w:t>
      </w:r>
      <w:r>
        <w:rPr>
          <w:rFonts w:ascii="PT Astra Serif" w:hAnsi="PT Astra Serif"/>
          <w:sz w:val="28"/>
          <w:szCs w:val="28"/>
        </w:rPr>
        <w:t xml:space="preserve">ода</w:t>
      </w:r>
      <w:r>
        <w:rPr>
          <w:rFonts w:ascii="PT Astra Serif" w:hAnsi="PT Astra Serif"/>
          <w:sz w:val="28"/>
          <w:szCs w:val="28"/>
        </w:rPr>
        <w:t xml:space="preserve"> № 395-р</w:t>
      </w:r>
      <w:r/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  <w:r/>
      <w:r>
        <w:rPr>
          <w:rFonts w:ascii="PT Astra Serif" w:hAnsi="PT Astra Serif"/>
          <w:sz w:val="28"/>
          <w:szCs w:val="28"/>
        </w:rPr>
      </w:r>
    </w:p>
    <w:p>
      <w:pPr>
        <w:ind w:left="9882" w:firstLine="26"/>
        <w:rPr>
          <w:rFonts w:ascii="PT Astra Serif" w:hAnsi="PT Astra Serif"/>
          <w:sz w:val="28"/>
          <w:szCs w:val="28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32"/>
        <w:jc w:val="center"/>
        <w:spacing w:before="0" w:after="0"/>
      </w:pPr>
      <w:r>
        <w:rPr>
          <w:rFonts w:ascii="PT Astra Serif" w:hAnsi="PT Astra Serif"/>
        </w:rPr>
        <w:t xml:space="preserve">План</w:t>
      </w:r>
      <w:r>
        <w:rPr>
          <w:rFonts w:ascii="PT Astra Serif" w:hAnsi="PT Astra Serif"/>
        </w:rPr>
      </w:r>
      <w:r/>
    </w:p>
    <w:p>
      <w:pPr>
        <w:pStyle w:val="619"/>
        <w:ind w:firstLine="709"/>
        <w:jc w:val="center"/>
      </w:pPr>
      <w:r>
        <w:rPr>
          <w:rFonts w:ascii="PT Astra Serif" w:hAnsi="PT Astra Serif"/>
          <w:sz w:val="28"/>
          <w:szCs w:val="28"/>
        </w:rPr>
        <w:t xml:space="preserve">мероприятий по </w:t>
      </w:r>
      <w:r>
        <w:rPr>
          <w:rFonts w:ascii="PT Astra Serif" w:hAnsi="PT Astra Serif"/>
          <w:sz w:val="28"/>
          <w:szCs w:val="28"/>
        </w:rPr>
        <w:t xml:space="preserve">ликвидации эпизоотического очага бруцеллеза и предотвращени</w:t>
      </w:r>
      <w:r>
        <w:rPr>
          <w:rFonts w:ascii="PT Astra Serif" w:hAnsi="PT Astra Serif"/>
          <w:sz w:val="28"/>
          <w:szCs w:val="28"/>
        </w:rPr>
        <w:t xml:space="preserve">ю</w:t>
      </w:r>
      <w:r>
        <w:rPr>
          <w:rFonts w:ascii="PT Astra Serif" w:hAnsi="PT Astra Serif"/>
          <w:sz w:val="28"/>
          <w:szCs w:val="28"/>
        </w:rPr>
        <w:t xml:space="preserve"> распространения возбудителя</w:t>
      </w:r>
      <w:r>
        <w:rPr>
          <w:rFonts w:ascii="PT Astra Serif" w:hAnsi="PT Astra Serif"/>
          <w:sz w:val="28"/>
          <w:szCs w:val="28"/>
        </w:rPr>
        <w:t xml:space="preserve"> в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ind w:firstLine="709"/>
        <w:jc w:val="center"/>
      </w:pPr>
      <w:r>
        <w:rPr>
          <w:rFonts w:ascii="PT Astra Serif" w:hAnsi="PT Astra Serif"/>
          <w:sz w:val="28"/>
          <w:szCs w:val="28"/>
        </w:rPr>
        <w:t xml:space="preserve">КФХ </w:t>
      </w:r>
      <w:r>
        <w:rPr>
          <w:rStyle w:val="625"/>
          <w:rFonts w:ascii="PT Astra Serif" w:hAnsi="PT Astra Serif"/>
          <w:szCs w:val="28"/>
          <w:lang w:val="en-US"/>
        </w:rPr>
        <w:t xml:space="preserve">&lt;</w:t>
      </w:r>
      <w:r>
        <w:rPr>
          <w:rStyle w:val="625"/>
          <w:rFonts w:ascii="PT Astra Serif" w:hAnsi="PT Astra Serif"/>
          <w:szCs w:val="28"/>
          <w:lang w:val="ru-RU"/>
        </w:rPr>
        <w:t xml:space="preserve">фамилия, имя, отчество</w:t>
      </w:r>
      <w:r>
        <w:rPr>
          <w:rStyle w:val="625"/>
          <w:rFonts w:ascii="PT Astra Serif" w:hAnsi="PT Astra Serif"/>
          <w:szCs w:val="28"/>
          <w:lang w:val="en-US"/>
        </w:rPr>
        <w:t xml:space="preserve">&gt;</w:t>
      </w:r>
      <w:r/>
      <w:r>
        <w:rPr>
          <w:rFonts w:ascii="PT Astra Serif" w:hAnsi="PT Astra Serif"/>
          <w:sz w:val="28"/>
          <w:szCs w:val="28"/>
        </w:rPr>
      </w:r>
      <w:r/>
    </w:p>
    <w:p>
      <w:pPr>
        <w:pStyle w:val="619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/>
    </w:p>
    <w:tbl>
      <w:tblPr>
        <w:tblW w:w="14800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8304"/>
        <w:gridCol w:w="3544"/>
        <w:gridCol w:w="2354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Наименование мероприятий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Срок исполнения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Ответственный за исполнение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1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Обеспечить поголовный клинический осмотр</w:t>
            </w:r>
            <w:r>
              <w:rPr>
                <w:rFonts w:ascii="PT Astra Serif" w:hAnsi="PT Astra Serif"/>
                <w:sz w:val="24"/>
              </w:rPr>
              <w:t xml:space="preserve"> животных и изоляцию животных с клиническими признаками бруцеллеза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При установлении диагноза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/>
                <w:szCs w:val="24"/>
              </w:rPr>
            </w:pPr>
            <w:r>
              <w:rPr>
                <w:rStyle w:val="625"/>
                <w:rFonts w:ascii="PT Astra Serif" w:hAnsi="PT Astra Serif"/>
                <w:sz w:val="24"/>
              </w:rPr>
            </w:r>
            <w:r>
              <w:rPr>
                <w:rStyle w:val="625"/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Style w:val="625"/>
                <w:rFonts w:ascii="PT Astra Serif" w:hAnsi="PT Astra Serif"/>
                <w:sz w:val="24"/>
                <w:szCs w:val="24"/>
                <w:lang w:val="ru-RU"/>
              </w:rPr>
              <w:t xml:space="preserve">фамилия, инициалы</w:t>
            </w:r>
            <w:r>
              <w:rPr>
                <w:rStyle w:val="625"/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>
              <w:rPr>
                <w:rStyle w:val="625"/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Style w:val="625"/>
                <w:rFonts w:ascii="PT Astra Serif" w:hAnsi="PT Astra Serif"/>
                <w:sz w:val="24"/>
              </w:rPr>
              <w:t xml:space="preserve">(далее – </w:t>
            </w:r>
            <w:r>
              <w:rPr>
                <w:rStyle w:val="625"/>
                <w:rFonts w:ascii="PT Astra Serif" w:hAnsi="PT Astra Serif"/>
                <w:sz w:val="24"/>
              </w:rPr>
              <w:t xml:space="preserve">В</w:t>
            </w:r>
            <w:r>
              <w:rPr>
                <w:rStyle w:val="625"/>
                <w:rFonts w:ascii="PT Astra Serif" w:hAnsi="PT Astra Serif"/>
                <w:sz w:val="24"/>
              </w:rPr>
              <w:t xml:space="preserve">ладелец)</w:t>
            </w:r>
            <w:r>
              <w:rPr>
                <w:rStyle w:val="625"/>
                <w:rFonts w:ascii="PT Astra Serif" w:hAnsi="PT Astra Serif"/>
                <w:sz w:val="24"/>
              </w:rPr>
              <w:t xml:space="preserve">, </w:t>
            </w:r>
            <w:r>
              <w:rPr>
                <w:rFonts w:ascii="PT Astra Serif" w:hAnsi="PT Astra Serif"/>
                <w:sz w:val="24"/>
              </w:rPr>
              <w:t xml:space="preserve">ОГАУ «Томское районное ветеринарное управление»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2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</w:t>
            </w:r>
            <w:r>
              <w:rPr>
                <w:rFonts w:ascii="PT Astra Serif" w:hAnsi="PT Astra Serif"/>
                <w:sz w:val="24"/>
              </w:rPr>
              <w:t xml:space="preserve">роводить</w:t>
            </w:r>
            <w:r>
              <w:rPr>
                <w:rFonts w:ascii="PT Astra Serif" w:hAnsi="PT Astra Serif"/>
                <w:sz w:val="24"/>
              </w:rPr>
              <w:t xml:space="preserve"> дератизацию и дезинсекцию </w:t>
            </w:r>
            <w:r>
              <w:rPr>
                <w:rFonts w:ascii="PT Astra Serif" w:hAnsi="PT Astra Serif"/>
                <w:sz w:val="24"/>
              </w:rPr>
              <w:t xml:space="preserve">помещений, в которых содержатся животные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3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Обеспечить отсутствие на территории эпизоотического очага животных без владельцев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Проводить дезинфекционную обработку одежды и обуви способами, обеспечивающими гибель возбудителя 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При выходе с территории эпизоотического</w:t>
            </w:r>
            <w:r>
              <w:rPr>
                <w:rFonts w:ascii="PT Astra Serif" w:hAnsi="PT Astra Serif"/>
                <w:sz w:val="24"/>
              </w:rPr>
              <w:t xml:space="preserve"> очага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Проводить дезинфекционную обработку транспортных средств 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При выезде с территории эпизоотического очага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</w:pPr>
            <w:r>
              <w:rPr>
                <w:rFonts w:ascii="PT Astra Serif" w:hAnsi="PT Astra Serif"/>
                <w:sz w:val="24"/>
              </w:rPr>
              <w:t xml:space="preserve">Обеспечить отбор проб крови для проведения серологического исследования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19"/>
              <w:jc w:val="both"/>
            </w:pPr>
            <w:r>
              <w:rPr>
                <w:rFonts w:ascii="PT Astra Serif" w:hAnsi="PT Astra Serif"/>
                <w:sz w:val="24"/>
              </w:rPr>
              <w:t xml:space="preserve">- </w:t>
            </w:r>
            <w:r>
              <w:rPr>
                <w:rFonts w:ascii="PT Astra Serif" w:hAnsi="PT Astra Serif"/>
                <w:sz w:val="24"/>
              </w:rPr>
              <w:t xml:space="preserve">КРС, МРС, с</w:t>
            </w:r>
            <w:r>
              <w:rPr>
                <w:rFonts w:ascii="PT Astra Serif" w:hAnsi="PT Astra Serif"/>
                <w:sz w:val="24"/>
              </w:rPr>
              <w:t xml:space="preserve">обак с интервалом 30 дней до получения двух подряд отрицательных результатов;</w:t>
            </w: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19"/>
              <w:jc w:val="both"/>
            </w:pPr>
            <w:r>
              <w:rPr>
                <w:rFonts w:ascii="PT Astra Serif" w:hAnsi="PT Astra Serif"/>
                <w:sz w:val="24"/>
              </w:rPr>
              <w:t xml:space="preserve">- Лошадей -  при появлении у них клинических признаков и перед отменой ограничительных мероприятий;</w:t>
            </w: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- </w:t>
            </w:r>
            <w:r>
              <w:rPr>
                <w:rFonts w:ascii="PT Astra Serif" w:hAnsi="PT Astra Serif"/>
                <w:sz w:val="24"/>
              </w:rPr>
              <w:t xml:space="preserve">Свиней и ж</w:t>
            </w:r>
            <w:r>
              <w:rPr>
                <w:rFonts w:ascii="PT Astra Serif" w:hAnsi="PT Astra Serif"/>
                <w:sz w:val="24"/>
              </w:rPr>
              <w:t xml:space="preserve">ивотных других видов – во время проведения поголовного клинического осмотра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  <w:t xml:space="preserve">, ОГАУ «Томское райветуправление»</w:t>
            </w: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7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Направ</w:t>
            </w:r>
            <w:r>
              <w:rPr>
                <w:rFonts w:ascii="PT Astra Serif" w:hAnsi="PT Astra Serif"/>
                <w:sz w:val="24"/>
              </w:rPr>
              <w:t xml:space="preserve">лять</w:t>
            </w:r>
            <w:r>
              <w:rPr>
                <w:rFonts w:ascii="PT Astra Serif" w:hAnsi="PT Astra Serif"/>
                <w:sz w:val="24"/>
              </w:rPr>
              <w:t xml:space="preserve"> на убой больных животных</w:t>
            </w:r>
            <w:r>
              <w:rPr>
                <w:rFonts w:ascii="PT Astra Serif" w:hAnsi="PT Astra Serif"/>
                <w:sz w:val="24"/>
              </w:rPr>
              <w:t xml:space="preserve"> и их приплод</w:t>
            </w:r>
            <w:r>
              <w:rPr>
                <w:rFonts w:ascii="PT Astra Serif" w:hAnsi="PT Astra Serif"/>
                <w:sz w:val="24"/>
              </w:rPr>
              <w:t xml:space="preserve"> на предприятия по убою или оборудованные для этих целей убойные пункты (площадки)</w:t>
            </w:r>
            <w:r>
              <w:rPr>
                <w:rFonts w:ascii="PT Astra Serif" w:hAnsi="PT Astra Serif"/>
                <w:sz w:val="24"/>
              </w:rPr>
              <w:t xml:space="preserve">, либо умерщ</w:t>
            </w:r>
            <w:r>
              <w:rPr>
                <w:rFonts w:ascii="PT Astra Serif" w:hAnsi="PT Astra Serif"/>
                <w:sz w:val="24"/>
              </w:rPr>
              <w:t xml:space="preserve">влять больных животных, убой которых не осуществляется на предприятиях по убою или оборудованных для этих целей убойных пунктах (площадках)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течение 15 календарных дней с даты установления диагноза на бруцеллез</w:t>
            </w:r>
            <w:r>
              <w:rPr>
                <w:rFonts w:ascii="PT Astra Serif" w:hAnsi="PT Astra Serif"/>
                <w:sz w:val="24"/>
              </w:rPr>
              <w:t xml:space="preserve"> за исключением супоросных свиноматок</w:t>
            </w:r>
            <w:r>
              <w:rPr>
                <w:rFonts w:ascii="PT Astra Serif" w:hAnsi="PT Astra Serif"/>
                <w:sz w:val="24"/>
              </w:rPr>
              <w:t xml:space="preserve">, направление на убой которых осуществляется после опороса и отъема попросят (поросята доращиваются до 180 дней с последующим направлением на убой)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Осуществлять наблюдение за животными в течение 180 календарных дней, а так же отбор проб крови для проведения двукратных серологических исследований с интервалом 90 календарных дней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При получении двух подряд отрицательных результатов серологических исследований  КРС, МРС и собак и отсутствии клинических признаков бруцеллеза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ОГАУ </w:t>
            </w:r>
            <w:r>
              <w:rPr>
                <w:rFonts w:ascii="PT Astra Serif" w:hAnsi="PT Astra Serif"/>
                <w:sz w:val="24"/>
              </w:rPr>
              <w:t xml:space="preserve">«Томское райветуправление»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9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Осуществлять обеззараживание продукции и сырья, полученного в эпизоотическом очаге в соответствии с п. 38 ветеринарных правил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10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Сено, убранное с участков на которых выпасались животные, больные бруцеллезом, должно использоваться для кормления животных, вакцинированных против бруцеллеза, внутри хозяйства 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После хранения в течение 60 календарных дней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11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Корма, за исключением сена, подвергать термической обработке при температуре 90°С – в течение 60 минут или при температуре 100°С – в течение 30 минут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4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Владелец 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12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Осуществлять утилизацию и уничтожение трупов животных, абортированных плодов в соответствии с ветеринарными правилами перемещения, хранения, переработки и утилизации биологических отходов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При появлении биологических отходов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13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Обеспечить обеззараживание навоза, подстилки и остатков корма в соответствии с п. 40 ветеринарных правил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течение периода карантина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Владелец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14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Провести дезинфекцию территории хозяйства, животноводческих помещений и других объектов, с которыми контактировали больные животные в соответствии с требованиями ветеринарных правил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19"/>
              <w:jc w:val="center"/>
            </w:pPr>
            <w:r>
              <w:rPr>
                <w:rFonts w:ascii="PT Astra Serif" w:hAnsi="PT Astra Serif" w:cs="Times New Roman"/>
                <w:sz w:val="24"/>
              </w:rPr>
              <w:t xml:space="preserve">Проводится в три этапа:</w:t>
            </w:r>
            <w:r>
              <w:rPr>
                <w:rFonts w:ascii="PT Astra Serif" w:hAnsi="PT Astra Serif" w:cs="Times New Roman"/>
                <w:sz w:val="24"/>
              </w:rPr>
            </w:r>
            <w:r/>
          </w:p>
          <w:p>
            <w:pPr>
              <w:pStyle w:val="619"/>
            </w:pPr>
            <w:r>
              <w:rPr>
                <w:rFonts w:ascii="PT Astra Serif" w:hAnsi="PT Astra Serif" w:cs="Times New Roman"/>
                <w:sz w:val="24"/>
              </w:rPr>
              <w:t xml:space="preserve">1) сразу после изоляции больных животных;</w:t>
            </w:r>
            <w:r>
              <w:rPr>
                <w:rFonts w:ascii="PT Astra Serif" w:hAnsi="PT Astra Serif" w:cs="Times New Roman"/>
                <w:sz w:val="24"/>
              </w:rPr>
            </w:r>
            <w:r/>
          </w:p>
          <w:p>
            <w:pPr>
              <w:pStyle w:val="619"/>
            </w:pPr>
            <w:r>
              <w:rPr>
                <w:rFonts w:ascii="PT Astra Serif" w:hAnsi="PT Astra Serif" w:cs="Times New Roman"/>
                <w:sz w:val="24"/>
              </w:rPr>
              <w:t xml:space="preserve">2) после проведения механической очистки;</w:t>
            </w:r>
            <w:r>
              <w:rPr>
                <w:rFonts w:ascii="PT Astra Serif" w:hAnsi="PT Astra Serif" w:cs="Times New Roman"/>
                <w:sz w:val="24"/>
              </w:rPr>
            </w:r>
            <w:r/>
          </w:p>
          <w:p>
            <w:pPr>
              <w:pStyle w:val="619"/>
              <w:rPr>
                <w:rFonts w:ascii="PT Astra Serif" w:hAnsi="PT Astra Serif" w:cs="Times New Roman"/>
                <w:szCs w:val="24"/>
              </w:rPr>
            </w:pPr>
            <w:r>
              <w:rPr>
                <w:rFonts w:ascii="PT Astra Serif" w:hAnsi="PT Astra Serif" w:cs="Times New Roman"/>
                <w:sz w:val="24"/>
              </w:rPr>
              <w:t xml:space="preserve">3) перед отменой карантина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top"/>
            <w:textDirection w:val="lrTb"/>
            <w:noWrap w:val="false"/>
          </w:tcPr>
          <w:p>
            <w:pPr>
              <w:pStyle w:val="619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ОГАУ </w:t>
            </w:r>
            <w:r>
              <w:rPr>
                <w:rFonts w:ascii="PT Astra Serif" w:hAnsi="PT Astra Serif"/>
                <w:sz w:val="24"/>
              </w:rPr>
              <w:t xml:space="preserve">«Томское райветуправление»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</w:tbl>
    <w:p>
      <w:pPr>
        <w:pStyle w:val="647"/>
        <w:rPr>
          <w:rFonts w:ascii="PT Astra Serif" w:hAnsi="PT Astra Serif"/>
        </w:rPr>
      </w:pPr>
      <w:r>
        <w:rPr>
          <w:rFonts w:ascii="PT Astra Serif" w:hAnsi="PT Astra Serif"/>
          <w:szCs w:val="28"/>
        </w:rPr>
      </w:r>
      <w:r/>
      <w:r/>
    </w:p>
    <w:sectPr>
      <w:footnotePr/>
      <w:endnotePr/>
      <w:type w:val="nextPage"/>
      <w:pgSz w:w="16838" w:h="11906" w:orient="landscape"/>
      <w:pgMar w:top="851" w:right="1134" w:bottom="850" w:left="1134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7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2">
      <w:start w:val="1"/>
      <w:numFmt w:val="decimal"/>
      <w:pStyle w:val="620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4">
      <w:start w:val="1"/>
      <w:numFmt w:val="decimal"/>
      <w:pStyle w:val="621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19"/>
    <w:next w:val="61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28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19"/>
    <w:next w:val="61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28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19"/>
    <w:next w:val="61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28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19"/>
    <w:next w:val="61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28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19"/>
    <w:next w:val="61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28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19"/>
    <w:next w:val="61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28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19"/>
    <w:next w:val="61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28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19"/>
    <w:next w:val="61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28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19"/>
    <w:next w:val="61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28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1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19"/>
    <w:next w:val="61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28"/>
    <w:link w:val="33"/>
    <w:uiPriority w:val="10"/>
    <w:rPr>
      <w:sz w:val="48"/>
      <w:szCs w:val="48"/>
    </w:rPr>
  </w:style>
  <w:style w:type="paragraph" w:styleId="35">
    <w:name w:val="Subtitle"/>
    <w:basedOn w:val="619"/>
    <w:next w:val="61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28"/>
    <w:link w:val="35"/>
    <w:uiPriority w:val="11"/>
    <w:rPr>
      <w:sz w:val="24"/>
      <w:szCs w:val="24"/>
    </w:rPr>
  </w:style>
  <w:style w:type="paragraph" w:styleId="37">
    <w:name w:val="Quote"/>
    <w:basedOn w:val="619"/>
    <w:next w:val="61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19"/>
    <w:next w:val="61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1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28"/>
    <w:link w:val="41"/>
    <w:uiPriority w:val="99"/>
  </w:style>
  <w:style w:type="paragraph" w:styleId="43">
    <w:name w:val="Footer"/>
    <w:basedOn w:val="61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28"/>
    <w:link w:val="43"/>
    <w:uiPriority w:val="99"/>
  </w:style>
  <w:style w:type="paragraph" w:styleId="45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1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28"/>
    <w:uiPriority w:val="99"/>
    <w:unhideWhenUsed/>
    <w:rPr>
      <w:vertAlign w:val="superscript"/>
    </w:rPr>
  </w:style>
  <w:style w:type="paragraph" w:styleId="177">
    <w:name w:val="endnote text"/>
    <w:basedOn w:val="61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28"/>
    <w:uiPriority w:val="99"/>
    <w:semiHidden/>
    <w:unhideWhenUsed/>
    <w:rPr>
      <w:vertAlign w:val="superscript"/>
    </w:rPr>
  </w:style>
  <w:style w:type="paragraph" w:styleId="180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next w:val="619"/>
    <w:link w:val="619"/>
    <w:qFormat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 w:cs="Mangal"/>
      <w:sz w:val="28"/>
      <w:szCs w:val="24"/>
      <w:lang w:val="ru-RU" w:eastAsia="zh-CN" w:bidi="hi-IN"/>
    </w:rPr>
  </w:style>
  <w:style w:type="paragraph" w:styleId="620">
    <w:name w:val="Заголовок 3"/>
    <w:basedOn w:val="619"/>
    <w:next w:val="619"/>
    <w:link w:val="619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21">
    <w:name w:val="Заголовок 5"/>
    <w:basedOn w:val="619"/>
    <w:next w:val="619"/>
    <w:link w:val="619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22">
    <w:name w:val="Основной шрифт абзаца"/>
    <w:next w:val="622"/>
    <w:link w:val="619"/>
    <w:uiPriority w:val="1"/>
    <w:semiHidden/>
    <w:unhideWhenUsed/>
  </w:style>
  <w:style w:type="table" w:styleId="623">
    <w:name w:val="Обычная таблица"/>
    <w:next w:val="623"/>
    <w:link w:val="619"/>
    <w:uiPriority w:val="99"/>
    <w:semiHidden/>
    <w:unhideWhenUsed/>
    <w:tblPr/>
  </w:style>
  <w:style w:type="numbering" w:styleId="624">
    <w:name w:val="Нет списка"/>
    <w:next w:val="624"/>
    <w:link w:val="619"/>
    <w:uiPriority w:val="99"/>
    <w:semiHidden/>
    <w:unhideWhenUsed/>
  </w:style>
  <w:style w:type="character" w:styleId="625">
    <w:name w:val="Основной шрифт абзаца1"/>
    <w:next w:val="625"/>
    <w:link w:val="619"/>
  </w:style>
  <w:style w:type="character" w:styleId="626">
    <w:name w:val="Маркеры списка"/>
    <w:next w:val="626"/>
    <w:link w:val="619"/>
    <w:rPr>
      <w:rFonts w:ascii="OpenSymbol" w:hAnsi="OpenSymbol" w:eastAsia="OpenSymbol" w:cs="OpenSymbol"/>
    </w:rPr>
  </w:style>
  <w:style w:type="character" w:styleId="627">
    <w:name w:val="Zeichenformat"/>
    <w:next w:val="627"/>
    <w:link w:val="619"/>
  </w:style>
  <w:style w:type="character" w:styleId="628" w:default="1">
    <w:name w:val="Default Paragraph Font"/>
    <w:next w:val="628"/>
    <w:link w:val="619"/>
  </w:style>
  <w:style w:type="paragraph" w:styleId="629">
    <w:name w:val="Заголовок"/>
    <w:basedOn w:val="619"/>
    <w:next w:val="630"/>
    <w:link w:val="619"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630">
    <w:name w:val="Основной текст"/>
    <w:basedOn w:val="619"/>
    <w:next w:val="630"/>
    <w:link w:val="619"/>
    <w:rPr>
      <w:sz w:val="21"/>
    </w:rPr>
  </w:style>
  <w:style w:type="paragraph" w:styleId="631">
    <w:name w:val="Обычный1"/>
    <w:next w:val="631"/>
    <w:link w:val="61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632">
    <w:name w:val="Название объекта"/>
    <w:basedOn w:val="619"/>
    <w:next w:val="630"/>
    <w:link w:val="619"/>
    <w:qFormat/>
    <w:pPr>
      <w:keepNext/>
      <w:spacing w:before="240" w:after="120"/>
    </w:pPr>
    <w:rPr>
      <w:rFonts w:ascii="Arial" w:hAnsi="Arial"/>
      <w:szCs w:val="28"/>
    </w:rPr>
  </w:style>
  <w:style w:type="paragraph" w:styleId="633">
    <w:name w:val="Подзаголовок"/>
    <w:basedOn w:val="632"/>
    <w:next w:val="630"/>
    <w:link w:val="619"/>
    <w:qFormat/>
    <w:pPr>
      <w:jc w:val="center"/>
    </w:pPr>
    <w:rPr>
      <w:i/>
      <w:iCs/>
    </w:rPr>
  </w:style>
  <w:style w:type="paragraph" w:styleId="634">
    <w:name w:val="Список"/>
    <w:basedOn w:val="630"/>
    <w:next w:val="634"/>
    <w:link w:val="619"/>
    <w:rPr>
      <w:rFonts w:ascii="Arial" w:hAnsi="Arial"/>
      <w:sz w:val="24"/>
    </w:rPr>
  </w:style>
  <w:style w:type="paragraph" w:styleId="635">
    <w:name w:val="Название объекта1"/>
    <w:basedOn w:val="619"/>
    <w:next w:val="635"/>
    <w:link w:val="619"/>
    <w:pPr>
      <w:spacing w:before="0" w:after="119"/>
      <w:suppressLineNumbers/>
    </w:pPr>
    <w:rPr>
      <w:i/>
      <w:iCs/>
    </w:rPr>
  </w:style>
  <w:style w:type="paragraph" w:styleId="636">
    <w:name w:val="Указатель1"/>
    <w:basedOn w:val="619"/>
    <w:next w:val="636"/>
    <w:link w:val="619"/>
    <w:pPr>
      <w:suppressLineNumbers/>
    </w:pPr>
    <w:rPr>
      <w:rFonts w:ascii="Arial" w:hAnsi="Arial"/>
      <w:sz w:val="24"/>
    </w:rPr>
  </w:style>
  <w:style w:type="paragraph" w:styleId="637">
    <w:name w:val="Верхний колонтитул"/>
    <w:basedOn w:val="619"/>
    <w:next w:val="637"/>
    <w:link w:val="619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38">
    <w:name w:val="Верхний колонтитул справа"/>
    <w:basedOn w:val="619"/>
    <w:next w:val="638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39">
    <w:name w:val="Верхний колонтитул слева"/>
    <w:basedOn w:val="619"/>
    <w:next w:val="639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40">
    <w:name w:val="Горизонтальная линия"/>
    <w:basedOn w:val="619"/>
    <w:next w:val="630"/>
    <w:link w:val="619"/>
    <w:pPr>
      <w:spacing w:before="0" w:after="283"/>
      <w:suppressLineNumbers/>
    </w:pPr>
    <w:rPr>
      <w:sz w:val="12"/>
      <w:szCs w:val="12"/>
    </w:rPr>
  </w:style>
  <w:style w:type="paragraph" w:styleId="641">
    <w:name w:val="Основной текст с отступом"/>
    <w:basedOn w:val="630"/>
    <w:next w:val="641"/>
    <w:link w:val="619"/>
    <w:pPr>
      <w:ind w:left="283" w:right="0" w:firstLine="0"/>
    </w:pPr>
  </w:style>
  <w:style w:type="paragraph" w:styleId="642">
    <w:name w:val="Красная строка"/>
    <w:basedOn w:val="630"/>
    <w:next w:val="642"/>
    <w:link w:val="619"/>
    <w:pPr>
      <w:ind w:left="0" w:right="0" w:firstLine="709"/>
    </w:pPr>
  </w:style>
  <w:style w:type="paragraph" w:styleId="643">
    <w:name w:val="Таблица"/>
    <w:basedOn w:val="635"/>
    <w:next w:val="643"/>
    <w:link w:val="619"/>
  </w:style>
  <w:style w:type="paragraph" w:styleId="644">
    <w:name w:val="Текст1"/>
    <w:basedOn w:val="635"/>
    <w:next w:val="644"/>
    <w:link w:val="619"/>
  </w:style>
  <w:style w:type="paragraph" w:styleId="645">
    <w:name w:val="Содержимое таблицы"/>
    <w:basedOn w:val="619"/>
    <w:next w:val="645"/>
    <w:link w:val="619"/>
    <w:pPr>
      <w:suppressLineNumbers/>
    </w:pPr>
  </w:style>
  <w:style w:type="paragraph" w:styleId="646">
    <w:name w:val="Текст шапки"/>
    <w:basedOn w:val="630"/>
    <w:next w:val="646"/>
    <w:link w:val="619"/>
    <w:pPr>
      <w:jc w:val="center"/>
    </w:pPr>
    <w:rPr>
      <w:b/>
      <w:bCs/>
      <w:sz w:val="30"/>
      <w:szCs w:val="30"/>
    </w:rPr>
  </w:style>
  <w:style w:type="paragraph" w:styleId="647">
    <w:name w:val="Подпись_дол+ФИО"/>
    <w:basedOn w:val="630"/>
    <w:next w:val="642"/>
    <w:link w:val="619"/>
    <w:pPr>
      <w:jc w:val="left"/>
      <w:tabs>
        <w:tab w:val="right" w:pos="10035" w:leader="none"/>
      </w:tabs>
    </w:pPr>
    <w:rPr>
      <w:sz w:val="28"/>
    </w:rPr>
  </w:style>
  <w:style w:type="paragraph" w:styleId="648">
    <w:name w:val="Содержимое врезки"/>
    <w:basedOn w:val="630"/>
    <w:next w:val="648"/>
    <w:link w:val="619"/>
  </w:style>
  <w:style w:type="paragraph" w:styleId="649">
    <w:name w:val="Подпись"/>
    <w:basedOn w:val="630"/>
    <w:next w:val="649"/>
    <w:link w:val="619"/>
    <w:pPr>
      <w:suppressLineNumbers/>
    </w:pPr>
  </w:style>
  <w:style w:type="paragraph" w:styleId="650">
    <w:name w:val="ПодписьСогл_дол+ФИО"/>
    <w:basedOn w:val="647"/>
    <w:next w:val="650"/>
    <w:link w:val="619"/>
    <w:rPr>
      <w:sz w:val="24"/>
    </w:rPr>
  </w:style>
  <w:style w:type="paragraph" w:styleId="651">
    <w:name w:val="Текст в заданном формате"/>
    <w:basedOn w:val="619"/>
    <w:next w:val="651"/>
    <w:link w:val="619"/>
    <w:rPr>
      <w:rFonts w:ascii="Courier New" w:hAnsi="Courier New" w:eastAsia="Courier New" w:cs="Courier New"/>
      <w:sz w:val="20"/>
      <w:szCs w:val="20"/>
    </w:rPr>
  </w:style>
  <w:style w:type="paragraph" w:styleId="652">
    <w:name w:val="DocumentMap"/>
    <w:next w:val="652"/>
    <w:link w:val="6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lang w:val="ru-RU" w:eastAsia="ru-RU" w:bidi="ar-SA"/>
    </w:rPr>
  </w:style>
  <w:style w:type="paragraph" w:styleId="653">
    <w:name w:val="Основной текст с отступом1"/>
    <w:basedOn w:val="619"/>
    <w:next w:val="653"/>
    <w:link w:val="619"/>
    <w:pPr>
      <w:ind w:left="0" w:right="0" w:firstLine="709"/>
      <w:jc w:val="both"/>
      <w:widowControl w:val="off"/>
    </w:pPr>
    <w:rPr>
      <w:rFonts w:ascii="Times New Roman" w:hAnsi="Times New Roman" w:eastAsia="Lucida Sans Unicode" w:cs="Times New Roman"/>
      <w:sz w:val="21"/>
      <w:szCs w:val="24"/>
      <w:lang w:val="ru-RU" w:eastAsia="zh-CN" w:bidi="hi-IN"/>
    </w:rPr>
  </w:style>
  <w:style w:type="paragraph" w:styleId="654">
    <w:name w:val="Standard"/>
    <w:next w:val="654"/>
    <w:link w:val="619"/>
    <w:qFormat/>
    <w:pPr>
      <w:jc w:val="both"/>
      <w:widowControl w:val="off"/>
    </w:pPr>
    <w:rPr>
      <w:rFonts w:eastAsia="Lucida Sans Unicode" w:cs="Mangal"/>
      <w:sz w:val="28"/>
      <w:szCs w:val="24"/>
      <w:lang w:val="ru-RU" w:eastAsia="zh-CN" w:bidi="hi-IN"/>
    </w:rPr>
  </w:style>
  <w:style w:type="paragraph" w:styleId="655">
    <w:name w:val="Текст выноски"/>
    <w:basedOn w:val="619"/>
    <w:next w:val="655"/>
    <w:link w:val="656"/>
    <w:uiPriority w:val="99"/>
    <w:semiHidden/>
    <w:unhideWhenUsed/>
    <w:rPr>
      <w:rFonts w:ascii="Tahoma" w:hAnsi="Tahoma"/>
      <w:sz w:val="16"/>
      <w:szCs w:val="14"/>
    </w:rPr>
  </w:style>
  <w:style w:type="character" w:styleId="656">
    <w:name w:val="Текст выноски Знак"/>
    <w:next w:val="656"/>
    <w:link w:val="655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numbering" w:styleId="1208" w:default="1">
    <w:name w:val="No List"/>
    <w:uiPriority w:val="99"/>
    <w:semiHidden/>
    <w:unhideWhenUsed/>
  </w:style>
  <w:style w:type="table" w:styleId="120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Распоряжение Установление карантина Березовка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vetadmin</dc:creator>
  <cp:revision>10</cp:revision>
  <dcterms:created xsi:type="dcterms:W3CDTF">2024-11-25T09:44:00Z</dcterms:created>
  <dcterms:modified xsi:type="dcterms:W3CDTF">2024-12-28T10:02:46Z</dcterms:modified>
  <cp:version>1048576</cp:version>
</cp:coreProperties>
</file>