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05"/>
      </w:pPr>
      <w:r>
        <w:t xml:space="preserve">ДЕПАРТАМЕНТ ВЕТЕРИНАРИИ</w:t>
      </w:r>
      <w:r>
        <w:br/>
        <w:t xml:space="preserve">ТОМСКОЙ ОБЛАСТИ</w:t>
      </w:r>
      <w:r>
        <w:br/>
      </w:r>
      <w:r>
        <w:br/>
        <w:t xml:space="preserve">РАСПОРЯЖЕНИЕ</w:t>
      </w:r>
      <w:r/>
    </w:p>
    <w:p>
      <w:pPr>
        <w:pStyle w:val="602"/>
        <w:tabs>
          <w:tab w:val="right" w:pos="9930" w:leader="none"/>
        </w:tabs>
      </w:pPr>
      <w:r/>
      <w:r/>
    </w:p>
    <w:p>
      <w:pPr>
        <w:pStyle w:val="602"/>
        <w:tabs>
          <w:tab w:val="right" w:pos="9930" w:leader="none"/>
        </w:tabs>
      </w:pPr>
      <w:r/>
      <w:r/>
    </w:p>
    <w:tbl>
      <w:tblPr>
        <w:tblW w:w="9593" w:type="dxa"/>
        <w:tblInd w:w="100" w:type="dxa"/>
        <w:tblBorders>
          <w:bottom w:val="single" w:color="000000" w:sz="4" w:space="0"/>
          <w:insideH w:val="single" w:color="000000" w:sz="4" w:space="0"/>
        </w:tblBorders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3073"/>
        <w:gridCol w:w="4419"/>
        <w:gridCol w:w="386"/>
        <w:gridCol w:w="1391"/>
        <w:gridCol w:w="324"/>
      </w:tblGrid>
      <w:tr>
        <w:trPr>
          <w:trHeight w:val="313"/>
        </w:trPr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073" w:type="dxa"/>
            <w:textDirection w:val="lrTb"/>
            <w:noWrap w:val="false"/>
          </w:tcPr>
          <w:p>
            <w:pPr>
              <w:pStyle w:val="604"/>
              <w:jc w:val="center"/>
            </w:pPr>
            <w:r>
              <w:t xml:space="preserve">26.12.2024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19" w:type="dxa"/>
            <w:textDirection w:val="lrTb"/>
            <w:noWrap w:val="false"/>
          </w:tcPr>
          <w:p>
            <w:pPr>
              <w:pStyle w:val="604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6" w:type="dxa"/>
            <w:textDirection w:val="lrTb"/>
            <w:noWrap w:val="false"/>
          </w:tcPr>
          <w:p>
            <w:pPr>
              <w:pStyle w:val="602"/>
              <w:tabs>
                <w:tab w:val="right" w:pos="9930" w:leader="none"/>
              </w:tabs>
            </w:pPr>
            <w:r>
              <w:t xml:space="preserve">№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391" w:type="dxa"/>
            <w:textDirection w:val="lrTb"/>
            <w:noWrap w:val="false"/>
          </w:tcPr>
          <w:p>
            <w:pPr>
              <w:pStyle w:val="604"/>
            </w:pPr>
            <w:r>
              <w:t xml:space="preserve">397-р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24" w:type="dxa"/>
            <w:textDirection w:val="lrTb"/>
            <w:noWrap w:val="false"/>
          </w:tcPr>
          <w:p>
            <w:pPr>
              <w:pStyle w:val="604"/>
            </w:pPr>
            <w:r/>
            <w:r/>
          </w:p>
        </w:tc>
      </w:tr>
      <w:tr>
        <w:trPr>
          <w:trHeight w:val="862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93" w:type="dxa"/>
            <w:textDirection w:val="lrTb"/>
            <w:noWrap w:val="false"/>
          </w:tcPr>
          <w:p>
            <w:pPr>
              <w:pStyle w:val="604"/>
              <w:jc w:val="center"/>
            </w:pPr>
            <w:r/>
            <w:r/>
          </w:p>
        </w:tc>
      </w:tr>
      <w:tr>
        <w:trPr>
          <w:trHeight w:val="626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93" w:type="dxa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О</w:t>
            </w:r>
            <w:r>
              <w:rPr>
                <w:rFonts w:ascii="PT Astra Serif" w:hAnsi="PT Astra Serif"/>
                <w:szCs w:val="28"/>
              </w:rPr>
              <w:t xml:space="preserve">б утверждении комплексного плана мероприятий по ликвидации эпизоотического очага бешенства на  </w:t>
            </w:r>
            <w:r>
              <w:rPr>
                <w:rFonts w:ascii="PT Astra Serif" w:hAnsi="PT Astra Serif"/>
                <w:szCs w:val="28"/>
              </w:rPr>
              <w:t xml:space="preserve">отдельной территории</w:t>
            </w:r>
            <w:r>
              <w:rPr>
                <w:rFonts w:ascii="PT Astra Serif" w:hAnsi="PT Astra Serif"/>
                <w:szCs w:val="28"/>
              </w:rPr>
              <w:t xml:space="preserve"> </w:t>
            </w:r>
            <w:r/>
          </w:p>
          <w:p>
            <w:pPr>
              <w:pStyle w:val="604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Зырянского</w:t>
            </w:r>
            <w:r>
              <w:rPr>
                <w:rFonts w:ascii="PT Astra Serif" w:hAnsi="PT Astra Serif"/>
                <w:szCs w:val="28"/>
              </w:rPr>
              <w:t xml:space="preserve"> района Томской области</w:t>
            </w:r>
            <w:r/>
          </w:p>
        </w:tc>
      </w:tr>
    </w:tbl>
    <w:p>
      <w:r/>
      <w:r/>
    </w:p>
    <w:p>
      <w:pPr>
        <w:pStyle w:val="602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В соответствии со статьями 3</w:t>
      </w:r>
      <w:r>
        <w:rPr>
          <w:sz w:val="28"/>
          <w:szCs w:val="28"/>
          <w:vertAlign w:val="superscript"/>
          <w:lang w:eastAsia="ar-SA"/>
        </w:rPr>
        <w:t xml:space="preserve">1</w:t>
      </w:r>
      <w:r>
        <w:rPr>
          <w:sz w:val="28"/>
          <w:szCs w:val="28"/>
          <w:lang w:eastAsia="ar-SA"/>
        </w:rPr>
        <w:t xml:space="preserve">, 17 Закона Российс</w:t>
      </w:r>
      <w:r>
        <w:rPr>
          <w:sz w:val="28"/>
          <w:szCs w:val="28"/>
          <w:lang w:eastAsia="ar-SA"/>
        </w:rPr>
        <w:t xml:space="preserve">кой Федерации от 14 мая 1993 года № 4979-1 «О ветеринарии», приказом Минсельхоза России 19.12.2011№ 476 «Об утверждении перечня заразных, в том числе особо опасных болезней животных по которым могут устанавливаться ограничительные мероприятия (карантин)», </w:t>
      </w:r>
      <w:r>
        <w:rPr>
          <w:rFonts w:ascii="PT Astra Serif" w:hAnsi="PT Astra Serif"/>
          <w:sz w:val="28"/>
          <w:szCs w:val="28"/>
        </w:rPr>
        <w:t xml:space="preserve">Ветеринарными</w:t>
      </w:r>
      <w:r>
        <w:rPr>
          <w:rFonts w:ascii="PT Astra Serif" w:hAnsi="PT Astra Serif"/>
          <w:sz w:val="28"/>
          <w:szCs w:val="28"/>
        </w:rPr>
        <w:t xml:space="preserve"> правил</w:t>
      </w:r>
      <w:r>
        <w:rPr>
          <w:rFonts w:ascii="PT Astra Serif" w:hAnsi="PT Astra Serif"/>
          <w:sz w:val="28"/>
          <w:szCs w:val="28"/>
        </w:rPr>
        <w:t xml:space="preserve">ами</w:t>
      </w:r>
      <w:r>
        <w:rPr>
          <w:rFonts w:ascii="PT Astra Serif" w:hAnsi="PT Astra Serif"/>
          <w:sz w:val="28"/>
          <w:szCs w:val="28"/>
        </w:rPr>
        <w:t xml:space="preserve">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бешенства, утвержденны</w:t>
      </w:r>
      <w:r>
        <w:rPr>
          <w:rFonts w:ascii="PT Astra Serif" w:hAnsi="PT Astra Serif"/>
          <w:sz w:val="28"/>
          <w:szCs w:val="28"/>
        </w:rPr>
        <w:t xml:space="preserve">ми</w:t>
      </w:r>
      <w:r>
        <w:rPr>
          <w:rFonts w:ascii="PT Astra Serif" w:hAnsi="PT Astra Serif"/>
          <w:sz w:val="28"/>
          <w:szCs w:val="28"/>
        </w:rPr>
        <w:t xml:space="preserve"> приказом Минсельхоза России от 25 ноября 2020 года № 705, </w:t>
      </w:r>
      <w:r>
        <w:rPr>
          <w:sz w:val="28"/>
          <w:szCs w:val="28"/>
          <w:lang w:eastAsia="ar-SA"/>
        </w:rPr>
        <w:t xml:space="preserve">статьей 4 Закона Томской области от 12 октября 2005 год</w:t>
      </w:r>
      <w:r>
        <w:rPr>
          <w:sz w:val="28"/>
          <w:szCs w:val="28"/>
          <w:lang w:eastAsia="ar-SA"/>
        </w:rPr>
        <w:t xml:space="preserve">а </w:t>
      </w:r>
      <w:r>
        <w:rPr>
          <w:sz w:val="28"/>
          <w:szCs w:val="28"/>
          <w:lang w:eastAsia="ar-SA"/>
        </w:rPr>
        <w:br/>
      </w:r>
      <w:r>
        <w:rPr>
          <w:sz w:val="28"/>
          <w:szCs w:val="28"/>
          <w:lang w:eastAsia="ar-SA"/>
        </w:rPr>
        <w:t xml:space="preserve">№ 182-ОЗ «Об обеспечении эпизоотического и ветеринарно-санитарного благополучия в Томской области» на основании </w:t>
      </w:r>
      <w:r>
        <w:rPr>
          <w:sz w:val="28"/>
          <w:szCs w:val="28"/>
          <w:lang w:eastAsia="ar-SA"/>
        </w:rPr>
        <w:t xml:space="preserve">представления</w:t>
      </w:r>
      <w:r>
        <w:rPr>
          <w:sz w:val="28"/>
          <w:szCs w:val="28"/>
          <w:lang w:eastAsia="ar-SA"/>
        </w:rPr>
        <w:t xml:space="preserve"> начальника</w:t>
      </w:r>
      <w:r>
        <w:rPr>
          <w:sz w:val="28"/>
          <w:szCs w:val="28"/>
          <w:lang w:eastAsia="ar-SA"/>
        </w:rPr>
        <w:t xml:space="preserve"> ОГА</w:t>
      </w:r>
      <w:r>
        <w:rPr>
          <w:sz w:val="28"/>
          <w:szCs w:val="28"/>
          <w:lang w:eastAsia="ar-SA"/>
        </w:rPr>
        <w:t xml:space="preserve">У «</w:t>
      </w:r>
      <w:r>
        <w:rPr>
          <w:sz w:val="28"/>
          <w:szCs w:val="28"/>
          <w:lang w:eastAsia="ar-SA"/>
        </w:rPr>
        <w:t xml:space="preserve">Зырянское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меж</w:t>
      </w:r>
      <w:r>
        <w:rPr>
          <w:sz w:val="28"/>
          <w:szCs w:val="28"/>
          <w:lang w:eastAsia="ar-SA"/>
        </w:rPr>
        <w:t xml:space="preserve">рай</w:t>
      </w:r>
      <w:r>
        <w:rPr>
          <w:sz w:val="28"/>
          <w:szCs w:val="28"/>
          <w:lang w:eastAsia="ar-SA"/>
        </w:rPr>
        <w:t xml:space="preserve">онное </w:t>
      </w:r>
      <w:r>
        <w:rPr>
          <w:sz w:val="28"/>
          <w:szCs w:val="28"/>
          <w:lang w:eastAsia="ar-SA"/>
        </w:rPr>
        <w:t xml:space="preserve">вет</w:t>
      </w:r>
      <w:r>
        <w:rPr>
          <w:sz w:val="28"/>
          <w:szCs w:val="28"/>
          <w:lang w:eastAsia="ar-SA"/>
        </w:rPr>
        <w:t xml:space="preserve">еринарное </w:t>
      </w:r>
      <w:r>
        <w:rPr>
          <w:sz w:val="28"/>
          <w:szCs w:val="28"/>
          <w:lang w:eastAsia="ar-SA"/>
        </w:rPr>
        <w:t xml:space="preserve">управление» </w:t>
      </w:r>
      <w:r>
        <w:rPr>
          <w:sz w:val="28"/>
          <w:szCs w:val="28"/>
          <w:lang w:eastAsia="ar-SA"/>
        </w:rPr>
        <w:t xml:space="preserve">от </w:t>
      </w:r>
      <w:r>
        <w:rPr>
          <w:sz w:val="28"/>
          <w:szCs w:val="28"/>
          <w:lang w:eastAsia="ar-SA"/>
        </w:rPr>
        <w:t xml:space="preserve">26</w:t>
      </w:r>
      <w:r>
        <w:rPr>
          <w:sz w:val="28"/>
          <w:szCs w:val="28"/>
          <w:lang w:eastAsia="ar-SA"/>
        </w:rPr>
        <w:t xml:space="preserve">.</w:t>
      </w:r>
      <w:r>
        <w:rPr>
          <w:sz w:val="28"/>
          <w:szCs w:val="28"/>
          <w:lang w:eastAsia="ar-SA"/>
        </w:rPr>
        <w:t xml:space="preserve">12</w:t>
      </w:r>
      <w:r>
        <w:rPr>
          <w:sz w:val="28"/>
          <w:szCs w:val="28"/>
          <w:lang w:eastAsia="ar-SA"/>
        </w:rPr>
        <w:t xml:space="preserve">.202</w:t>
      </w:r>
      <w:r>
        <w:rPr>
          <w:sz w:val="28"/>
          <w:szCs w:val="28"/>
          <w:lang w:eastAsia="ar-SA"/>
        </w:rPr>
        <w:t xml:space="preserve">4</w:t>
      </w:r>
      <w:r>
        <w:rPr>
          <w:sz w:val="28"/>
          <w:szCs w:val="28"/>
          <w:lang w:eastAsia="ar-SA"/>
        </w:rPr>
        <w:t xml:space="preserve"> № </w:t>
      </w:r>
      <w:r>
        <w:rPr>
          <w:sz w:val="28"/>
          <w:szCs w:val="28"/>
          <w:lang w:eastAsia="ar-SA"/>
        </w:rPr>
        <w:t xml:space="preserve">1</w:t>
      </w:r>
      <w:r>
        <w:rPr>
          <w:sz w:val="28"/>
          <w:szCs w:val="28"/>
          <w:lang w:eastAsia="ar-SA"/>
        </w:rPr>
        <w:t xml:space="preserve">54</w:t>
      </w:r>
      <w:r>
        <w:rPr>
          <w:sz w:val="28"/>
          <w:szCs w:val="28"/>
          <w:lang w:eastAsia="ar-SA"/>
        </w:rPr>
        <w:t xml:space="preserve">:</w:t>
      </w:r>
      <w:r/>
    </w:p>
    <w:p>
      <w:pPr>
        <w:pStyle w:val="602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sz w:val="28"/>
          <w:szCs w:val="28"/>
        </w:rPr>
        <w:t xml:space="preserve">1. Утвердить прилагаемый Комплексный план </w:t>
      </w:r>
      <w:r>
        <w:rPr>
          <w:sz w:val="28"/>
          <w:szCs w:val="28"/>
        </w:rPr>
        <w:t xml:space="preserve">мероприятий </w:t>
      </w:r>
      <w:r>
        <w:rPr>
          <w:rFonts w:ascii="PT Astra Serif" w:hAnsi="PT Astra Serif"/>
          <w:sz w:val="28"/>
          <w:szCs w:val="28"/>
        </w:rPr>
        <w:t xml:space="preserve">по ликвидации эпизоотического очага</w:t>
      </w:r>
      <w:r>
        <w:rPr>
          <w:rFonts w:ascii="PT Astra Serif" w:hAnsi="PT Astra Serif"/>
          <w:sz w:val="28"/>
          <w:szCs w:val="28"/>
        </w:rPr>
        <w:t xml:space="preserve"> бешенства и предотвр</w:t>
      </w:r>
      <w:r>
        <w:rPr>
          <w:rFonts w:ascii="PT Astra Serif" w:hAnsi="PT Astra Serif"/>
          <w:sz w:val="28"/>
          <w:szCs w:val="28"/>
        </w:rPr>
        <w:t xml:space="preserve">ащения распространения возбудителя бешенства в </w:t>
      </w:r>
      <w:r>
        <w:rPr>
          <w:rFonts w:ascii="PT Astra Serif" w:hAnsi="PT Astra Serif"/>
          <w:sz w:val="28"/>
          <w:szCs w:val="28"/>
        </w:rPr>
        <w:t xml:space="preserve">с</w:t>
      </w:r>
      <w:r>
        <w:rPr>
          <w:rFonts w:ascii="PT Astra Serif" w:hAnsi="PT Astra Serif"/>
          <w:sz w:val="28"/>
          <w:szCs w:val="28"/>
        </w:rPr>
        <w:t xml:space="preserve">. </w:t>
      </w:r>
      <w:r>
        <w:rPr>
          <w:rFonts w:ascii="PT Astra Serif" w:hAnsi="PT Astra Serif"/>
          <w:sz w:val="28"/>
          <w:szCs w:val="28"/>
        </w:rPr>
        <w:t xml:space="preserve">Зырянское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Зырянского</w:t>
      </w:r>
      <w:r>
        <w:rPr>
          <w:rFonts w:ascii="PT Astra Serif" w:hAnsi="PT Astra Serif"/>
          <w:sz w:val="28"/>
          <w:szCs w:val="28"/>
        </w:rPr>
        <w:t xml:space="preserve"> района Томской област</w:t>
      </w:r>
      <w:r>
        <w:rPr>
          <w:rFonts w:ascii="PT Astra Serif" w:hAnsi="PT Astra Serif"/>
          <w:sz w:val="28"/>
          <w:szCs w:val="28"/>
        </w:rPr>
        <w:t xml:space="preserve">и</w:t>
      </w:r>
      <w:r>
        <w:rPr>
          <w:rFonts w:ascii="PT Astra Serif" w:hAnsi="PT Astra Serif"/>
          <w:sz w:val="28"/>
          <w:szCs w:val="28"/>
        </w:rPr>
        <w:t xml:space="preserve">.</w:t>
      </w:r>
      <w:r/>
    </w:p>
    <w:p>
      <w:pPr>
        <w:pStyle w:val="602"/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2. Комитету</w:t>
      </w:r>
      <w:r>
        <w:rPr>
          <w:sz w:val="28"/>
          <w:szCs w:val="28"/>
        </w:rPr>
        <w:t xml:space="preserve"> правового и информационно-анали</w:t>
      </w:r>
      <w:r>
        <w:rPr>
          <w:sz w:val="28"/>
        </w:rPr>
        <w:t xml:space="preserve">тического обеспечения обеспечить размещение настоящего распоряжения на официальном сайте Департаме</w:t>
      </w:r>
      <w:r>
        <w:rPr>
          <w:sz w:val="28"/>
        </w:rPr>
        <w:t xml:space="preserve">нта ветеринарии Томской области.</w:t>
      </w:r>
      <w:r/>
    </w:p>
    <w:p>
      <w:pPr>
        <w:pStyle w:val="602"/>
        <w:ind w:firstLine="709"/>
        <w:jc w:val="both"/>
        <w:rPr>
          <w:sz w:val="28"/>
        </w:rPr>
      </w:pPr>
      <w:r>
        <w:rPr>
          <w:sz w:val="28"/>
        </w:rPr>
        <w:t xml:space="preserve">3. Контроль за исполнением настоящего распоряжения возложить на заместителя начальника департамента, председателя комитета организации ветеринарной деятельности. </w:t>
      </w:r>
      <w:r/>
    </w:p>
    <w:p>
      <w:pPr>
        <w:pStyle w:val="602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02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02"/>
        <w:spacing w:line="360" w:lineRule="auto"/>
        <w:rPr>
          <w:sz w:val="28"/>
          <w:szCs w:val="28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/>
      <w:bookmarkStart w:id="0" w:name="_GoBack"/>
      <w:r/>
      <w:bookmarkEnd w:id="0"/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ачальник</w:t>
      </w:r>
      <w:r>
        <w:rPr>
          <w:sz w:val="28"/>
          <w:szCs w:val="28"/>
        </w:rPr>
        <w:t xml:space="preserve"> департамента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В.В.Табакаев</w:t>
      </w:r>
      <w:r>
        <w:rPr>
          <w:highlight w:val="none"/>
        </w:rPr>
      </w:r>
    </w:p>
    <w:p>
      <w:pPr>
        <w:pStyle w:val="1_849"/>
        <w:jc w:val="right"/>
        <w:pageBreakBefore/>
      </w:pPr>
      <w:r>
        <w:rPr>
          <w:rFonts w:ascii="Times New Roman" w:hAnsi="Times New Roman" w:cs="Times New Roman"/>
          <w:sz w:val="26"/>
          <w:szCs w:val="26"/>
        </w:rPr>
        <w:t xml:space="preserve">УТВЕРЖДЕН</w:t>
      </w:r>
      <w:r/>
      <w:r/>
    </w:p>
    <w:p>
      <w:pPr>
        <w:pStyle w:val="1_849"/>
        <w:jc w:val="right"/>
      </w:pPr>
      <w:r>
        <w:rPr>
          <w:rFonts w:ascii="Times New Roman" w:hAnsi="Times New Roman" w:cs="Times New Roman"/>
          <w:sz w:val="26"/>
          <w:szCs w:val="26"/>
        </w:rPr>
        <w:t xml:space="preserve">распоряжением Департамента ветеринарии Томской области </w:t>
      </w:r>
      <w:r/>
      <w:r/>
    </w:p>
    <w:p>
      <w:pPr>
        <w:pStyle w:val="1_849"/>
        <w:jc w:val="right"/>
        <w:rPr>
          <w:rFonts w:ascii="Times New Roman" w:hAnsi="Times New Roman" w:cs="Times New Roman"/>
          <w:sz w:val="26"/>
          <w:szCs w:val="26"/>
          <w14:ligatures w14:val="none"/>
        </w:rPr>
      </w:pPr>
      <w:r>
        <w:rPr>
          <w:rFonts w:ascii="Times New Roman" w:hAnsi="Times New Roman" w:cs="Times New Roman"/>
          <w:sz w:val="26"/>
          <w:szCs w:val="26"/>
        </w:rPr>
        <w:t xml:space="preserve">от 26.12.2024 № 397-р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1_847"/>
        <w:jc w:val="center"/>
        <w:spacing w:after="0"/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p>
      <w:pPr>
        <w:pStyle w:val="1_847"/>
        <w:jc w:val="center"/>
        <w:spacing w:after="0"/>
      </w:pPr>
      <w:r>
        <w:rPr>
          <w:sz w:val="26"/>
          <w:szCs w:val="26"/>
        </w:rPr>
        <w:t xml:space="preserve">Комплексный план мероприятий по ликвидации эпизоотического очага</w:t>
      </w:r>
      <w:r>
        <w:rPr>
          <w:rStyle w:val="1_845"/>
          <w:sz w:val="26"/>
          <w:szCs w:val="26"/>
        </w:rPr>
        <w:t xml:space="preserve"> </w:t>
      </w:r>
      <w:r>
        <w:rPr>
          <w:sz w:val="26"/>
          <w:szCs w:val="26"/>
        </w:rPr>
        <w:t xml:space="preserve">бешенств</w:t>
      </w:r>
      <w:r>
        <w:rPr>
          <w:rStyle w:val="1_845"/>
          <w:sz w:val="26"/>
          <w:szCs w:val="26"/>
        </w:rPr>
        <w:t xml:space="preserve">а и предотвращению распространения возбудителя бешенства </w:t>
      </w:r>
      <w:bookmarkStart w:id="0" w:name="undefined"/>
      <w:r>
        <w:rPr>
          <w:sz w:val="26"/>
          <w:szCs w:val="26"/>
        </w:rPr>
        <w:t xml:space="preserve">в</w:t>
      </w:r>
      <w:bookmarkEnd w:id="0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с.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Зырянское</w:t>
      </w:r>
      <w:r>
        <w:rPr>
          <w:sz w:val="26"/>
          <w:szCs w:val="26"/>
        </w:rPr>
        <w:t xml:space="preserve"> </w:t>
      </w:r>
      <w:r>
        <w:rPr>
          <w:rStyle w:val="1_845"/>
          <w:sz w:val="26"/>
          <w:szCs w:val="26"/>
        </w:rPr>
        <w:t xml:space="preserve">Зырянского</w:t>
      </w:r>
      <w:r>
        <w:rPr>
          <w:rStyle w:val="1_845"/>
          <w:sz w:val="26"/>
          <w:szCs w:val="26"/>
        </w:rPr>
        <w:t xml:space="preserve"> района Томской области</w:t>
      </w:r>
      <w:r/>
      <w:r/>
    </w:p>
    <w:p>
      <w:pPr>
        <w:pStyle w:val="1_847"/>
        <w:jc w:val="center"/>
        <w:spacing w:after="0"/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tbl>
      <w:tblPr>
        <w:tblW w:w="14652" w:type="dxa"/>
        <w:tblInd w:w="28" w:type="dxa"/>
        <w:tblLayout w:type="fixed"/>
        <w:tblCellMar>
          <w:left w:w="28" w:type="dxa"/>
          <w:top w:w="28" w:type="dxa"/>
          <w:right w:w="28" w:type="dxa"/>
          <w:bottom w:w="28" w:type="dxa"/>
        </w:tblCellMar>
        <w:tblLook w:val="04A0" w:firstRow="1" w:lastRow="0" w:firstColumn="1" w:lastColumn="0" w:noHBand="0" w:noVBand="1"/>
      </w:tblPr>
      <w:tblGrid>
        <w:gridCol w:w="450"/>
        <w:gridCol w:w="7412"/>
        <w:gridCol w:w="3053"/>
        <w:gridCol w:w="3737"/>
      </w:tblGrid>
      <w:tr>
        <w:trPr/>
        <w:tc>
          <w:tcPr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tcW w:w="450" w:type="dxa"/>
            <w:vAlign w:val="center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bookmarkStart w:id="0" w:name="undefine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Times New Roman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п/п</w:t>
            </w:r>
            <w:bookmarkEnd w:id="0"/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tcW w:w="7412" w:type="dxa"/>
            <w:vAlign w:val="center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bookmarkStart w:id="0" w:name="undefine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Наименование мероприятий</w:t>
            </w:r>
            <w:bookmarkEnd w:id="0"/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tcW w:w="3053" w:type="dxa"/>
            <w:vAlign w:val="center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bookmarkStart w:id="0" w:name="undefine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Сроки исполнения</w:t>
            </w:r>
            <w:bookmarkEnd w:id="0"/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top w:val="single" w:color="808080" w:sz="8" w:space="0"/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И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сполнител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и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/>
        <w:tc>
          <w:tcPr>
            <w:gridSpan w:val="4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14652" w:type="dxa"/>
            <w:vAlign w:val="top"/>
            <w:textDirection w:val="lrTb"/>
            <w:noWrap w:val="false"/>
          </w:tcPr>
          <w:p>
            <w:pPr>
              <w:pStyle w:val="604"/>
              <w:numPr>
                <w:ilvl w:val="0"/>
                <w:numId w:val="1"/>
              </w:num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В эпизоотическом очаге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/>
        <w:tc>
          <w:tcPr>
            <w:tcBorders>
              <w:left w:val="single" w:color="808080" w:sz="8" w:space="0"/>
              <w:bottom w:val="single" w:color="808080" w:sz="8" w:space="0"/>
            </w:tcBorders>
            <w:tcW w:w="450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bookmarkStart w:id="0" w:name="undefine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1</w:t>
            </w:r>
            <w:bookmarkEnd w:id="0"/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</w:tcBorders>
            <w:tcW w:w="7412" w:type="dxa"/>
            <w:vAlign w:val="top"/>
            <w:textDirection w:val="lrTb"/>
            <w:noWrap w:val="false"/>
          </w:tcPr>
          <w:p>
            <w:pPr>
              <w:pStyle w:val="1_847"/>
              <w:jc w:val="both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Обеспечить 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изоляцию и 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наблюдение за восприимчивыми животными, контактировавшими с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 больным животным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</w:tcBorders>
            <w:tcW w:w="3053" w:type="dxa"/>
            <w:vAlign w:val="top"/>
            <w:textDirection w:val="lrTb"/>
            <w:noWrap w:val="false"/>
          </w:tcPr>
          <w:p>
            <w:pPr>
              <w:pStyle w:val="1_847"/>
              <w:jc w:val="center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Не менее 10 календарных дней с момента контакта с больным животным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ОГАУ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Зырянское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меж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районное ветеринарное управление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/>
        <w:tc>
          <w:tcPr>
            <w:tcBorders>
              <w:left w:val="single" w:color="808080" w:sz="8" w:space="0"/>
              <w:bottom w:val="single" w:color="808080" w:sz="8" w:space="0"/>
            </w:tcBorders>
            <w:tcW w:w="450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</w:tcBorders>
            <w:tcW w:w="7412" w:type="dxa"/>
            <w:vAlign w:val="top"/>
            <w:textDirection w:val="lrTb"/>
            <w:noWrap w:val="false"/>
          </w:tcPr>
          <w:p>
            <w:pPr>
              <w:pStyle w:val="1_847"/>
              <w:jc w:val="both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Обеспечить вакцинацию против бешенства всех восприимчивых животных, не вакцинированных против бешенства или с момента вакцинации которых прош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ло 180 календарных дней и более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</w:tcBorders>
            <w:tcW w:w="3053" w:type="dxa"/>
            <w:vAlign w:val="top"/>
            <w:textDirection w:val="lrTb"/>
            <w:noWrap w:val="false"/>
          </w:tcPr>
          <w:p>
            <w:pPr>
              <w:pStyle w:val="1_847"/>
              <w:jc w:val="center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Немедленно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  <w:lang w:val="en-US"/>
              </w:rPr>
              <w:t xml:space="preserve">&lt;</w:t>
            </w:r>
            <w:r>
              <w:rPr>
                <w:rFonts w:ascii="PT Astra Serif" w:hAnsi="PT Astra Serif" w:cs="PT Astra Serif"/>
                <w:sz w:val="28"/>
                <w:szCs w:val="28"/>
                <w:lang w:val="ru-RU"/>
              </w:rPr>
              <w:t xml:space="preserve">фамилия, имя, отчество</w:t>
            </w:r>
            <w:r>
              <w:rPr>
                <w:rFonts w:ascii="PT Astra Serif" w:hAnsi="PT Astra Serif" w:cs="PT Astra Serif"/>
                <w:sz w:val="28"/>
                <w:szCs w:val="28"/>
                <w:lang w:val="en-US"/>
              </w:rPr>
              <w:t xml:space="preserve">&gt;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– далее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Владелец неблагополучного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ЛПХ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;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ОГАУ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Зырянское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меж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районное ветеринарное управление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/>
        <w:tc>
          <w:tcPr>
            <w:tcBorders>
              <w:left w:val="single" w:color="808080" w:sz="8" w:space="0"/>
              <w:bottom w:val="single" w:color="808080" w:sz="8" w:space="0"/>
            </w:tcBorders>
            <w:tcW w:w="450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3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</w:tcBorders>
            <w:tcW w:w="7412" w:type="dxa"/>
            <w:vAlign w:val="top"/>
            <w:textDirection w:val="lrTb"/>
            <w:noWrap w:val="false"/>
          </w:tcPr>
          <w:p>
            <w:pPr>
              <w:pStyle w:val="1_847"/>
              <w:jc w:val="both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Обеспечить изолированное содержание вакцинированных восприимчивых животных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</w:tcBorders>
            <w:tcW w:w="3053" w:type="dxa"/>
            <w:vAlign w:val="top"/>
            <w:textDirection w:val="lrTb"/>
            <w:noWrap w:val="false"/>
          </w:tcPr>
          <w:p>
            <w:pPr>
              <w:pStyle w:val="1_847"/>
              <w:jc w:val="center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В течение 60 календарных дней после вакцинации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Владелец неблагополучного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ЛПХ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/>
        <w:tc>
          <w:tcPr>
            <w:tcBorders>
              <w:left w:val="single" w:color="808080" w:sz="8" w:space="0"/>
              <w:bottom w:val="single" w:color="808080" w:sz="8" w:space="0"/>
            </w:tcBorders>
            <w:tcW w:w="450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4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</w:tcBorders>
            <w:tcW w:w="7412" w:type="dxa"/>
            <w:vAlign w:val="top"/>
            <w:textDirection w:val="lrTb"/>
            <w:noWrap w:val="false"/>
          </w:tcPr>
          <w:p>
            <w:pPr>
              <w:pStyle w:val="1_847"/>
              <w:jc w:val="both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Обеспечить изъятие и бескровный убой восприимчивых животных, проявивших в период наблюдения клинические признаки, характерные для бешенства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</w:tcBorders>
            <w:tcW w:w="3053" w:type="dxa"/>
            <w:vAlign w:val="top"/>
            <w:textDirection w:val="lrTb"/>
            <w:noWrap w:val="false"/>
          </w:tcPr>
          <w:p>
            <w:pPr>
              <w:pStyle w:val="1_847"/>
              <w:jc w:val="center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Немедленно в случае появления клинических признаков, характерных для бешенства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ОГАУ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Зырянское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меж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районное ветеринарное управление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/>
        <w:tc>
          <w:tcPr>
            <w:tcBorders>
              <w:left w:val="single" w:color="808080" w:sz="8" w:space="0"/>
              <w:bottom w:val="single" w:color="808080" w:sz="8" w:space="0"/>
            </w:tcBorders>
            <w:tcW w:w="450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5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</w:tcBorders>
            <w:tcW w:w="7412" w:type="dxa"/>
            <w:vAlign w:val="top"/>
            <w:textDirection w:val="lrTb"/>
            <w:noWrap w:val="false"/>
          </w:tcPr>
          <w:p>
            <w:pPr>
              <w:pStyle w:val="1_847"/>
              <w:jc w:val="both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Обеспечить дезинфекционную обработку одежды и обуви дезинфицирующими средствами с высокой вирулицидной активностью в отношении возбудителя согласно инструкциям по их применению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</w:tcBorders>
            <w:tcW w:w="3053" w:type="dxa"/>
            <w:vAlign w:val="top"/>
            <w:textDirection w:val="lrTb"/>
            <w:noWrap w:val="false"/>
          </w:tcPr>
          <w:p>
            <w:pPr>
              <w:pStyle w:val="1_847"/>
              <w:jc w:val="center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При выходе с территории эпизоотического очага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Владелец неблагополучного ЛПХ;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ОГАУ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Зырянское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меж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районное ветеринарное управление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/>
        <w:tc>
          <w:tcPr>
            <w:tcBorders>
              <w:left w:val="single" w:color="808080" w:sz="8" w:space="0"/>
              <w:bottom w:val="single" w:color="808080" w:sz="8" w:space="0"/>
            </w:tcBorders>
            <w:tcW w:w="450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6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</w:tcBorders>
            <w:tcW w:w="7412" w:type="dxa"/>
            <w:vAlign w:val="top"/>
            <w:textDirection w:val="lrTb"/>
            <w:noWrap w:val="false"/>
          </w:tcPr>
          <w:p>
            <w:pPr>
              <w:pStyle w:val="1_847"/>
              <w:jc w:val="both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Обеспечить проведение дератизации 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</w:tcBorders>
            <w:tcW w:w="3053" w:type="dxa"/>
            <w:vAlign w:val="top"/>
            <w:textDirection w:val="lrTb"/>
            <w:noWrap w:val="false"/>
          </w:tcPr>
          <w:p>
            <w:pPr>
              <w:pStyle w:val="1_847"/>
              <w:jc w:val="center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Владелец неблагополучного ЛПХ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/>
        <w:tc>
          <w:tcPr>
            <w:tcBorders>
              <w:left w:val="single" w:color="808080" w:sz="8" w:space="0"/>
              <w:bottom w:val="single" w:color="808080" w:sz="8" w:space="0"/>
            </w:tcBorders>
            <w:tcW w:w="450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7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</w:tcBorders>
            <w:tcW w:w="7412" w:type="dxa"/>
            <w:vAlign w:val="top"/>
            <w:textDirection w:val="lrTb"/>
            <w:noWrap w:val="false"/>
          </w:tcPr>
          <w:p>
            <w:pPr>
              <w:pStyle w:val="1_847"/>
              <w:jc w:val="both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Обеспечить отсутствие на территории эпизоотического очага животных без владельцев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</w:tcBorders>
            <w:tcW w:w="3053" w:type="dxa"/>
            <w:vAlign w:val="top"/>
            <w:textDirection w:val="lrTb"/>
            <w:noWrap w:val="false"/>
          </w:tcPr>
          <w:p>
            <w:pPr>
              <w:pStyle w:val="1_847"/>
              <w:jc w:val="center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Владелец неблагополучного ЛПХ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/>
        <w:tc>
          <w:tcPr>
            <w:tcBorders>
              <w:left w:val="single" w:color="808080" w:sz="8" w:space="0"/>
              <w:bottom w:val="single" w:color="808080" w:sz="8" w:space="0"/>
            </w:tcBorders>
            <w:tcW w:w="450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8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</w:tcBorders>
            <w:tcW w:w="7412" w:type="dxa"/>
            <w:vAlign w:val="top"/>
            <w:textDirection w:val="lrTb"/>
            <w:noWrap w:val="false"/>
          </w:tcPr>
          <w:p>
            <w:pPr>
              <w:pStyle w:val="1_847"/>
              <w:jc w:val="both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Исключить участие в мероприятиях по ликвидации эпизоотического очага лиц, имеющих повреждения кожи на руках, лице и других открытых участках тела 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</w:tcBorders>
            <w:tcW w:w="3053" w:type="dxa"/>
            <w:vAlign w:val="top"/>
            <w:textDirection w:val="lrTb"/>
            <w:noWrap w:val="false"/>
          </w:tcPr>
          <w:p>
            <w:pPr>
              <w:pStyle w:val="1_847"/>
              <w:jc w:val="center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Владелец неблагополучного ЛПХ;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ОГАУ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Зырянское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меж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районное ветеринарное управление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/>
        <w:tc>
          <w:tcPr>
            <w:tcBorders>
              <w:left w:val="single" w:color="808080" w:sz="8" w:space="0"/>
              <w:bottom w:val="single" w:color="808080" w:sz="8" w:space="0"/>
            </w:tcBorders>
            <w:tcW w:w="450" w:type="dxa"/>
            <w:vAlign w:val="top"/>
            <w:textDirection w:val="lrTb"/>
            <w:noWrap w:val="false"/>
          </w:tcPr>
          <w:p>
            <w:pPr>
              <w:pStyle w:val="1_847"/>
              <w:jc w:val="center"/>
              <w:spacing w:after="0"/>
              <w:rPr>
                <w:rStyle w:val="1_845"/>
                <w:rFonts w:ascii="PT Astra Serif" w:hAnsi="PT Astra Serif" w:cs="PT Astra Serif"/>
                <w:sz w:val="28"/>
                <w:szCs w:val="28"/>
                <w14:ligatures w14:val="none"/>
              </w:rPr>
            </w:pP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9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</w:tcBorders>
            <w:tcW w:w="7412" w:type="dxa"/>
            <w:vAlign w:val="top"/>
            <w:textDirection w:val="lrTb"/>
            <w:noWrap w:val="false"/>
          </w:tcPr>
          <w:p>
            <w:pPr>
              <w:pStyle w:val="1_847"/>
              <w:jc w:val="both"/>
              <w:spacing w:after="0"/>
              <w:rPr>
                <w:rStyle w:val="1_845"/>
                <w:rFonts w:ascii="PT Astra Serif" w:hAnsi="PT Astra Serif" w:cs="PT Astra Serif"/>
                <w:sz w:val="28"/>
                <w:szCs w:val="28"/>
                <w14:ligatures w14:val="none"/>
              </w:rPr>
            </w:pP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Подвергнуть дезинфекции места обнаружения трупов больных восприимчивых животных, помещения по содержанию восприимчивых животных и другие объекты, с которыми контактировали больные восприимчивые животные в соответствии с действующими 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правилами осуществления профил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бешенства, утвержденными приказом Минсельхоза России от 25.11.2020 года 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     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№ 705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</w:tcBorders>
            <w:tcW w:w="3053" w:type="dxa"/>
            <w:vAlign w:val="top"/>
            <w:textDirection w:val="lrTb"/>
            <w:noWrap w:val="false"/>
          </w:tcPr>
          <w:p>
            <w:pPr>
              <w:pStyle w:val="598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Проводится в три этапа: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Style w:val="598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1) сразу после изоляции больных животных;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Style w:val="598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2) после проведения механической очистки;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Style w:val="598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3) перед отменой карантина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Владелец неблагополучного ЛПХ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/>
        <w:tc>
          <w:tcPr>
            <w:gridSpan w:val="4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14652" w:type="dxa"/>
            <w:vAlign w:val="top"/>
            <w:textDirection w:val="lrTb"/>
            <w:noWrap w:val="false"/>
          </w:tcPr>
          <w:p>
            <w:pPr>
              <w:pStyle w:val="604"/>
              <w:numPr>
                <w:ilvl w:val="0"/>
                <w:numId w:val="1"/>
              </w:num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В неблагополучном пункте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/>
        <w:tc>
          <w:tcPr>
            <w:tcBorders>
              <w:left w:val="single" w:color="808080" w:sz="8" w:space="0"/>
              <w:bottom w:val="single" w:color="808080" w:sz="8" w:space="0"/>
            </w:tcBorders>
            <w:tcW w:w="450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0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</w:tcBorders>
            <w:tcW w:w="7412" w:type="dxa"/>
            <w:vAlign w:val="top"/>
            <w:textDirection w:val="lrTb"/>
            <w:noWrap w:val="false"/>
          </w:tcPr>
          <w:p>
            <w:pPr>
              <w:pStyle w:val="604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Обеспечить обход 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личных подсобных хозяйств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,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 в которых содержатся восприимчивые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 животны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е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 с целью выявления подозреваемых в заболевани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и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 бе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шенством животных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</w:tcBorders>
            <w:tcW w:w="3053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bookmarkStart w:id="0" w:name="undefined"/>
            <w:r>
              <w:rPr>
                <w:rFonts w:ascii="PT Astra Serif" w:hAnsi="PT Astra Serif" w:cs="PT Astra Serif"/>
                <w:sz w:val="28"/>
                <w:szCs w:val="28"/>
              </w:rPr>
              <w:t xml:space="preserve">Немедленно, после получения информации о выявлении случая бешенства у животных</w:t>
            </w:r>
            <w:bookmarkEnd w:id="0"/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ОГАУ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Зырянское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меж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районное ветеринарное управление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/>
        <w:tc>
          <w:tcPr>
            <w:tcBorders>
              <w:left w:val="single" w:color="808080" w:sz="8" w:space="0"/>
              <w:bottom w:val="single" w:color="000000" w:sz="4" w:space="0"/>
            </w:tcBorders>
            <w:tcW w:w="450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11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000000" w:sz="4" w:space="0"/>
            </w:tcBorders>
            <w:tcW w:w="7412" w:type="dxa"/>
            <w:vAlign w:val="top"/>
            <w:textDirection w:val="lrTb"/>
            <w:noWrap w:val="false"/>
          </w:tcPr>
          <w:p>
            <w:pPr>
              <w:pStyle w:val="1_847"/>
              <w:jc w:val="both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Обеспечить вакцинацию против бешенства восприимчивых животных, относящихся к семействам псовых, кошачьих, куньих, а так же крупного рогатого скота, овец, коз, свиней и лошадей, не вакцинированных против бешенства или с момента вакцинации которых прошло 180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календарных дней и более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000000" w:sz="4" w:space="0"/>
            </w:tcBorders>
            <w:tcW w:w="3053" w:type="dxa"/>
            <w:vAlign w:val="top"/>
            <w:textDirection w:val="lrTb"/>
            <w:noWrap w:val="false"/>
          </w:tcPr>
          <w:p>
            <w:pPr>
              <w:pStyle w:val="1_847"/>
              <w:jc w:val="center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Немедленно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left w:val="single" w:color="808080" w:sz="8" w:space="0"/>
              <w:bottom w:val="single" w:color="000000" w:sz="4" w:space="0"/>
              <w:right w:val="single" w:color="808080" w:sz="8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ОГАУ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Зырянское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меж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районное ветеринарное управление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0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12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12" w:type="dxa"/>
            <w:vAlign w:val="top"/>
            <w:textDirection w:val="lrTb"/>
            <w:noWrap w:val="false"/>
          </w:tcPr>
          <w:p>
            <w:pPr>
              <w:pStyle w:val="1_847"/>
              <w:jc w:val="both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Обеспечить отсутствие на территории неблагополучного пункта животных без владельцев путем отлова животных без влад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ельца с последующим изолированны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м содержанием таких животных в течение 14 календарных дней с момента отлова и вакцинацией против бешенства вакцинами соглас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но инструкциям по их применению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3" w:type="dxa"/>
            <w:vAlign w:val="top"/>
            <w:textDirection w:val="lrTb"/>
            <w:noWrap w:val="false"/>
          </w:tcPr>
          <w:p>
            <w:pPr>
              <w:pStyle w:val="1_847"/>
              <w:jc w:val="center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Администрация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Зырянского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района (по согласованию)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0" w:type="dxa"/>
            <w:vAlign w:val="top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13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12" w:type="dxa"/>
            <w:vAlign w:val="top"/>
            <w:textDirection w:val="lrTb"/>
            <w:noWrap w:val="false"/>
          </w:tcPr>
          <w:p>
            <w:pPr>
              <w:pStyle w:val="1_847"/>
              <w:jc w:val="both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Обеспечить отсутствие восприимчивых животных, отнесенных к охотничьим ресурсам, пут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ем регулирования их численности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3" w:type="dxa"/>
            <w:vAlign w:val="top"/>
            <w:textDirection w:val="lrTb"/>
            <w:noWrap w:val="false"/>
          </w:tcPr>
          <w:p>
            <w:pPr>
              <w:pStyle w:val="1_847"/>
              <w:jc w:val="center"/>
              <w:spacing w:after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604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  <w:t xml:space="preserve">Департамент охотничьего и рыбного хозяйства Томской области (по согласованию)</w:t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</w:r>
            <w:r>
              <w:rPr>
                <w:rStyle w:val="1_845"/>
                <w:rFonts w:ascii="PT Astra Serif" w:hAnsi="PT Astra Serif" w:cs="PT Astra Serif"/>
                <w:sz w:val="28"/>
                <w:szCs w:val="28"/>
              </w:rPr>
            </w:r>
          </w:p>
        </w:tc>
      </w:tr>
    </w:tbl>
    <w:p>
      <w:pPr>
        <w:pStyle w:val="602"/>
        <w:spacing w:line="360" w:lineRule="auto"/>
        <w:rPr>
          <w:highlight w:val="none"/>
        </w:rPr>
      </w:pPr>
      <w:r>
        <w:rPr>
          <w:sz w:val="28"/>
          <w:szCs w:val="28"/>
        </w:rPr>
      </w:r>
      <w:r>
        <w:rPr>
          <w:highlight w:val="none"/>
        </w:rPr>
      </w:r>
      <w:r/>
    </w:p>
    <w:sectPr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ndale Sans UI">
    <w:panose1 w:val="02040503050201020203"/>
  </w:font>
  <w:font w:name="Tahoma">
    <w:panose1 w:val="020B0604030504040204"/>
  </w:font>
  <w:font w:name="PT Astra Serif">
    <w:panose1 w:val="020A0603040505020204"/>
  </w:font>
  <w:font w:name="Lucida Sans Unicode">
    <w:panose1 w:val="020B0602030504020204"/>
  </w:font>
  <w:font w:name="Times New Roman">
    <w:panose1 w:val="02020603050405020304"/>
  </w:font>
  <w:font w:name="Segoe UI">
    <w:panose1 w:val="020B0502040204020203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98"/>
        <w:ind w:left="720" w:hanging="360"/>
      </w:pPr>
      <w:rPr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pStyle w:val="598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598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598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598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598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598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598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598"/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599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59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59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59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59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59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59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59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59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8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599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599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599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599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599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599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character" w:styleId="599" w:default="1">
    <w:name w:val="Default Paragraph Font"/>
    <w:uiPriority w:val="1"/>
    <w:semiHidden/>
    <w:unhideWhenUsed/>
  </w:style>
  <w:style w:type="table" w:styleId="6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1" w:default="1">
    <w:name w:val="No List"/>
    <w:uiPriority w:val="99"/>
    <w:semiHidden/>
    <w:unhideWhenUsed/>
  </w:style>
  <w:style w:type="paragraph" w:styleId="602" w:customStyle="1">
    <w:name w:val="Standard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zh-CN"/>
    </w:rPr>
  </w:style>
  <w:style w:type="paragraph" w:styleId="603" w:customStyle="1">
    <w:name w:val="ПодписьСогл_дол+ФИО"/>
    <w:basedOn w:val="598"/>
    <w:pPr>
      <w:spacing w:after="120" w:line="240" w:lineRule="auto"/>
      <w:tabs>
        <w:tab w:val="right" w:pos="10035" w:leader="none"/>
      </w:tabs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604" w:customStyle="1">
    <w:name w:val="Содержимое таблицы"/>
    <w:basedOn w:val="602"/>
    <w:qFormat/>
    <w:pPr>
      <w:jc w:val="both"/>
      <w:widowControl w:val="off"/>
      <w:suppressLineNumbers/>
    </w:pPr>
    <w:rPr>
      <w:rFonts w:eastAsia="Lucida Sans Unicode" w:cs="Mangal"/>
      <w:sz w:val="28"/>
      <w:szCs w:val="24"/>
      <w:lang w:bidi="hi-IN"/>
    </w:rPr>
  </w:style>
  <w:style w:type="paragraph" w:styleId="605" w:customStyle="1">
    <w:name w:val="Текст шапки"/>
    <w:basedOn w:val="598"/>
    <w:qFormat/>
    <w:pPr>
      <w:jc w:val="center"/>
      <w:spacing w:after="0" w:line="240" w:lineRule="auto"/>
      <w:widowControl w:val="off"/>
    </w:pPr>
    <w:rPr>
      <w:rFonts w:ascii="Times New Roman" w:hAnsi="Times New Roman" w:eastAsia="Lucida Sans Unicode" w:cs="Mangal"/>
      <w:b/>
      <w:bCs/>
      <w:sz w:val="30"/>
      <w:szCs w:val="30"/>
      <w:lang w:eastAsia="zh-CN" w:bidi="hi-IN"/>
    </w:rPr>
  </w:style>
  <w:style w:type="paragraph" w:styleId="606">
    <w:name w:val="Balloon Text"/>
    <w:basedOn w:val="598"/>
    <w:link w:val="60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607" w:customStyle="1">
    <w:name w:val="Текст выноски Знак"/>
    <w:basedOn w:val="599"/>
    <w:link w:val="606"/>
    <w:uiPriority w:val="99"/>
    <w:semiHidden/>
    <w:rPr>
      <w:rFonts w:ascii="Segoe UI" w:hAnsi="Segoe UI" w:cs="Segoe UI"/>
      <w:sz w:val="18"/>
      <w:szCs w:val="18"/>
    </w:rPr>
  </w:style>
  <w:style w:type="character" w:styleId="1_845" w:customStyle="1">
    <w:name w:val="Основной шрифт абзаца2"/>
    <w:next w:val="603"/>
    <w:link w:val="599"/>
  </w:style>
  <w:style w:type="character" w:styleId="1_846" w:customStyle="1">
    <w:name w:val="Основной шрифт абзаца1"/>
    <w:next w:val="606"/>
    <w:link w:val="599"/>
  </w:style>
  <w:style w:type="paragraph" w:styleId="1_849" w:customStyle="1">
    <w:name w:val="ConsPlusDocList"/>
    <w:next w:val="599"/>
    <w:link w:val="599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4" w:space="0"/>
      </w:pBdr>
      <w:suppressLineNumbers w:val="0"/>
    </w:pPr>
    <w:rPr>
      <w:rFonts w:ascii="Arial" w:hAnsi="Arial" w:eastAsia="Arial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ja-JP" w:bidi="fa-IR"/>
      <w14:ligatures w14:val="none"/>
    </w:rPr>
  </w:style>
  <w:style w:type="paragraph" w:styleId="1_847" w:customStyle="1">
    <w:name w:val="Основной текст"/>
    <w:basedOn w:val="599"/>
    <w:next w:val="608"/>
    <w:link w:val="599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 w:color="000000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4" w:space="0"/>
      </w:pBdr>
      <w:suppressLineNumbers w:val="0"/>
    </w:pPr>
    <w:rPr>
      <w:rFonts w:ascii="Times New Roman" w:hAnsi="Times New Roman" w:eastAsia="Andale Sans UI" w:cs="Tahom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ja-JP" w:bidi="fa-IR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2865C-E7A2-4F26-937C-1F53CA1FD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Николаевна Семенова</dc:creator>
  <cp:revision>7</cp:revision>
  <dcterms:created xsi:type="dcterms:W3CDTF">2024-03-29T02:41:00Z</dcterms:created>
  <dcterms:modified xsi:type="dcterms:W3CDTF">2024-12-28T09:41:24Z</dcterms:modified>
</cp:coreProperties>
</file>