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/>
      </w:pPr>
      <w:r>
        <w:rPr>
          <w:rFonts w:ascii="PT Astra Serif" w:hAnsi="PT Astra Serif"/>
          <w:sz w:val="24"/>
          <w:szCs w:val="24"/>
        </w:rPr>
        <w:t>УТВЕРЖДАЮ</w:t>
      </w:r>
    </w:p>
    <w:p>
      <w:pPr>
        <w:pStyle w:val="Normal"/>
        <w:spacing w:before="0" w:after="0"/>
        <w:jc w:val="right"/>
        <w:rPr/>
      </w:pPr>
      <w:r>
        <w:rPr>
          <w:rFonts w:ascii="PT Astra Serif" w:hAnsi="PT Astra Serif"/>
          <w:sz w:val="24"/>
          <w:szCs w:val="24"/>
        </w:rPr>
        <w:t>И.о. начальника Департамента ветеринарии</w:t>
      </w:r>
    </w:p>
    <w:p>
      <w:pPr>
        <w:pStyle w:val="Normal"/>
        <w:spacing w:before="0" w:after="0"/>
        <w:jc w:val="right"/>
        <w:rPr/>
      </w:pPr>
      <w:r>
        <w:rPr>
          <w:rFonts w:ascii="PT Astra Serif" w:hAnsi="PT Astra Serif"/>
          <w:sz w:val="24"/>
          <w:szCs w:val="24"/>
        </w:rPr>
        <w:t>Томской области</w:t>
      </w:r>
    </w:p>
    <w:p>
      <w:pPr>
        <w:pStyle w:val="Normal"/>
        <w:spacing w:before="0" w:after="0"/>
        <w:jc w:val="right"/>
        <w:rPr/>
      </w:pPr>
      <w:r>
        <w:rPr>
          <w:rFonts w:ascii="PT Astra Serif" w:hAnsi="PT Astra Serif"/>
          <w:sz w:val="24"/>
          <w:szCs w:val="24"/>
        </w:rPr>
        <w:t>____________________ Е.В. Гынгазова</w:t>
      </w:r>
    </w:p>
    <w:p>
      <w:pPr>
        <w:pStyle w:val="Normal"/>
        <w:spacing w:before="0" w:after="0"/>
        <w:jc w:val="right"/>
        <w:rPr/>
      </w:pPr>
      <w:r>
        <w:rPr>
          <w:rFonts w:ascii="PT Astra Serif" w:hAnsi="PT Astra Serif"/>
          <w:sz w:val="24"/>
          <w:szCs w:val="24"/>
        </w:rPr>
        <w:t>«</w:t>
      </w:r>
      <w:r>
        <w:rPr>
          <w:rFonts w:ascii="PT Astra Serif" w:hAnsi="PT Astra Serif"/>
          <w:sz w:val="24"/>
          <w:szCs w:val="24"/>
        </w:rPr>
        <w:t>03</w:t>
      </w:r>
      <w:r>
        <w:rPr>
          <w:rFonts w:ascii="PT Astra Serif" w:hAnsi="PT Astra Serif"/>
          <w:sz w:val="24"/>
          <w:szCs w:val="24"/>
        </w:rPr>
        <w:t xml:space="preserve">» </w:t>
      </w:r>
      <w:r>
        <w:rPr>
          <w:rFonts w:ascii="PT Astra Serif" w:hAnsi="PT Astra Serif"/>
          <w:sz w:val="24"/>
          <w:szCs w:val="24"/>
        </w:rPr>
        <w:t>ноября</w:t>
      </w:r>
      <w:r>
        <w:rPr>
          <w:rFonts w:ascii="PT Astra Serif" w:hAnsi="PT Astra Serif"/>
          <w:sz w:val="24"/>
          <w:szCs w:val="24"/>
        </w:rPr>
        <w:t xml:space="preserve"> 2023 года </w:t>
      </w:r>
    </w:p>
    <w:p>
      <w:pPr>
        <w:pStyle w:val="Normal"/>
        <w:spacing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PT Astra Serif" w:hAnsi="PT Astra Serif"/>
          <w:sz w:val="24"/>
          <w:szCs w:val="24"/>
        </w:rPr>
        <w:t>АКТ</w:t>
      </w:r>
    </w:p>
    <w:p>
      <w:pPr>
        <w:pStyle w:val="Normal"/>
        <w:spacing w:before="0" w:after="0"/>
        <w:jc w:val="center"/>
        <w:rPr/>
      </w:pPr>
      <w:r>
        <w:rPr>
          <w:rFonts w:ascii="PT Astra Serif" w:hAnsi="PT Astra Serif"/>
          <w:sz w:val="24"/>
          <w:szCs w:val="24"/>
        </w:rPr>
        <w:t>плановой проверки соблюдения Федерального закона от 18.07.2011 № 223-ФЗ</w:t>
        <w:br/>
        <w:t>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 областным государственным автономным учреждением «Парабельское районное ветеринарное управление»</w:t>
      </w:r>
    </w:p>
    <w:p>
      <w:pPr>
        <w:pStyle w:val="Normal"/>
        <w:spacing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before="0" w:after="0"/>
        <w:ind w:firstLine="567"/>
        <w:jc w:val="both"/>
        <w:rPr/>
      </w:pPr>
      <w:r>
        <w:rPr>
          <w:rStyle w:val="12"/>
          <w:rFonts w:cs="Times New Roman" w:ascii="PT Astra Serif" w:hAnsi="PT Astra Serif"/>
          <w:bCs/>
          <w:sz w:val="24"/>
          <w:szCs w:val="24"/>
        </w:rPr>
        <w:t>Орган ведомственного контроля, осуществляющий плановую проверку:</w:t>
      </w:r>
      <w:r>
        <w:rPr>
          <w:rStyle w:val="12"/>
          <w:rFonts w:cs="Times New Roman" w:ascii="PT Astra Serif" w:hAnsi="PT Astra Serif"/>
          <w:sz w:val="24"/>
          <w:szCs w:val="24"/>
        </w:rPr>
        <w:t xml:space="preserve"> Департамент ветеринарии Томской области.</w:t>
      </w:r>
    </w:p>
    <w:p>
      <w:pPr>
        <w:pStyle w:val="Normal"/>
        <w:spacing w:before="0" w:after="0"/>
        <w:ind w:firstLine="567"/>
        <w:jc w:val="both"/>
        <w:rPr/>
      </w:pPr>
      <w:r>
        <w:rPr>
          <w:rStyle w:val="12"/>
          <w:rFonts w:cs="Times New Roman" w:ascii="PT Astra Serif" w:hAnsi="PT Astra Serif"/>
          <w:bCs/>
          <w:sz w:val="24"/>
          <w:szCs w:val="24"/>
        </w:rPr>
        <w:t>Дата и номер решения о проведении проверки:</w:t>
      </w:r>
      <w:r>
        <w:rPr>
          <w:rStyle w:val="12"/>
          <w:rFonts w:cs="Times New Roman" w:ascii="PT Astra Serif" w:hAnsi="PT Astra Serif"/>
          <w:sz w:val="24"/>
          <w:szCs w:val="24"/>
        </w:rPr>
        <w:t xml:space="preserve"> распоряжение Департамента ветеринарии Томской области </w:t>
      </w:r>
      <w:r>
        <w:rPr>
          <w:rStyle w:val="12"/>
          <w:rFonts w:cs="Times New Roman" w:ascii="PT Astra Serif" w:hAnsi="PT Astra Serif"/>
          <w:bCs/>
          <w:sz w:val="24"/>
          <w:szCs w:val="24"/>
        </w:rPr>
        <w:t>от 11.09.2023 № 104 «О проведении проверки в рамках ведомственного контроля за соблюдением требований Федерального закона от 18.07.2011 № 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Федерации».</w:t>
      </w:r>
    </w:p>
    <w:p>
      <w:pPr>
        <w:pStyle w:val="Textbody"/>
        <w:ind w:firstLine="567"/>
        <w:rPr/>
      </w:pPr>
      <w:r>
        <w:rPr>
          <w:rStyle w:val="12"/>
          <w:rFonts w:eastAsia="Calibri" w:cs="Times New Roman" w:ascii="PT Astra Serif" w:hAnsi="PT Astra Serif" w:eastAsiaTheme="minorHAnsi"/>
          <w:bCs/>
          <w:sz w:val="24"/>
          <w:lang w:eastAsia="en-US" w:bidi="ar-SA"/>
        </w:rPr>
        <w:t>Вид проверки: плановая.</w:t>
      </w:r>
    </w:p>
    <w:p>
      <w:pPr>
        <w:pStyle w:val="Textbody"/>
        <w:ind w:firstLine="567"/>
        <w:rPr/>
      </w:pPr>
      <w:r>
        <w:rPr>
          <w:rStyle w:val="12"/>
          <w:rFonts w:eastAsia="Calibri" w:cs="Times New Roman" w:ascii="PT Astra Serif" w:hAnsi="PT Astra Serif" w:eastAsiaTheme="minorHAnsi"/>
          <w:bCs/>
          <w:sz w:val="24"/>
          <w:lang w:eastAsia="en-US" w:bidi="ar-SA"/>
        </w:rPr>
        <w:t>Предмет проверки: соблюдение требований Федерального закона от 18</w:t>
      </w:r>
      <w:r>
        <w:rPr>
          <w:rFonts w:ascii="PT Astra Serif" w:hAnsi="PT Astra Serif"/>
          <w:sz w:val="24"/>
        </w:rPr>
        <w:t xml:space="preserve">.07.2011 </w:t>
        <w:br/>
        <w:t>№ 223-ФЗ «О закупках товаров, работ, услуг отдельными видами юридических лиц» (далее – Федеральный закон № 223-ФЗ) и иных принятых в соответствии с ним нормативных правовых актов Российской Федерации.</w:t>
      </w:r>
    </w:p>
    <w:p>
      <w:pPr>
        <w:pStyle w:val="Textbody"/>
        <w:ind w:firstLine="567"/>
        <w:rPr/>
      </w:pPr>
      <w:r>
        <w:rPr>
          <w:rFonts w:ascii="PT Astra Serif" w:hAnsi="PT Astra Serif"/>
          <w:sz w:val="24"/>
        </w:rPr>
        <w:t>Основание проведения проверки: пункт 2 плана проверок на 2-ое полугодие 2023 года, утвержденного начальником Департамента ветеринарии Томской области 08.06.2023.</w:t>
      </w:r>
    </w:p>
    <w:p>
      <w:pPr>
        <w:pStyle w:val="Textbody"/>
        <w:ind w:firstLine="567"/>
        <w:rPr/>
      </w:pPr>
      <w:r>
        <w:rPr>
          <w:rFonts w:ascii="PT Astra Serif" w:hAnsi="PT Astra Serif"/>
          <w:sz w:val="24"/>
        </w:rPr>
        <w:t>Форма проверки: камеральная (документарная).</w:t>
      </w:r>
    </w:p>
    <w:p>
      <w:pPr>
        <w:pStyle w:val="Textbody"/>
        <w:ind w:firstLine="567"/>
        <w:rPr/>
      </w:pPr>
      <w:r>
        <w:rPr>
          <w:rFonts w:ascii="PT Astra Serif" w:hAnsi="PT Astra Serif"/>
          <w:sz w:val="24"/>
        </w:rPr>
        <w:t>Проверяемый период: 01.01.2021 – 01.09.2023.</w:t>
      </w:r>
    </w:p>
    <w:p>
      <w:pPr>
        <w:pStyle w:val="Textbody"/>
        <w:ind w:firstLine="567"/>
        <w:rPr/>
      </w:pPr>
      <w:r>
        <w:rPr>
          <w:rFonts w:ascii="PT Astra Serif" w:hAnsi="PT Astra Serif"/>
          <w:sz w:val="24"/>
        </w:rPr>
        <w:t>Состав комиссии: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4"/>
        </w:rPr>
        <w:t>Е.В. Гынгазова — председатель комиссии, заместитель начальника департамента, председатель комитета правового и информационно-аналитического обеспечения;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4"/>
        </w:rPr>
        <w:t>Н.М. Ильева — заместитель председателя комитета правового и информационно-аналитического обеспечения;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4"/>
        </w:rPr>
        <w:t>А.В. Кривенко — консультант комитета правового и информационно-аналитического обеспечения.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4"/>
        </w:rPr>
        <w:t>Срок проведения проверки: 25.09.2023 – 20.10.2023.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PT Astra Serif" w:hAnsi="PT Astra Serif"/>
          <w:sz w:val="24"/>
          <w:szCs w:val="24"/>
        </w:rPr>
        <w:t xml:space="preserve">Срок подписания </w:t>
      </w:r>
      <w:r>
        <w:rPr>
          <w:rFonts w:eastAsia="Times New Roman" w:cs="PT Astra Serif" w:ascii="PT Astra Serif" w:hAnsi="PT Astra Serif"/>
          <w:sz w:val="24"/>
          <w:szCs w:val="24"/>
          <w:lang w:eastAsia="ru-RU"/>
        </w:rPr>
        <w:t>акта проверки членами комиссии и утверждения его начальником Департамента ветеринарии Томской области: десять рабочих дней со дня окончания проведения проверки (до 04.11.2023).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4"/>
        </w:rPr>
        <w:t>Наименование, адрес местонахождения субъекта контроля, в отношении которого принято решение о проведении проверки: ОГАУ «Парабельское райветуправление» (в проверяемом периоде до 24.02.2022 являлось бюджетным) (далее — Учреждение), 636600, Томская область, Парабельский район, с. Парабель, ул. Школьная, 14.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4"/>
        </w:rPr>
        <w:t>В ходе проверки рассмотрены: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4"/>
        </w:rPr>
        <w:t>- планы закупок товаров, работ, услуг на 2021 год, 2022 год, 2023 год, планы закупок инновационной продукции, высокотехнологичной продукции и лекарственных средств;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4"/>
        </w:rPr>
        <w:t>- договоры, заключенные Учреждением в проверяемом периоде (предоставленные на бумажном носителе);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4"/>
        </w:rPr>
        <w:t>- документы по исполнению указанных договоров (товарные накладные) выборочно;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4"/>
        </w:rPr>
        <w:t>- документация Учреждения, созданная за проверяемый период в процессе осуществления закупок в порядке, установленном Федеральным законом № 223-ФЗ;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4"/>
        </w:rPr>
        <w:t xml:space="preserve">- информация, размещенная на официальном сайте Российской Федерации для размещения информации о размещении заказов в единой информационно-телекоммуникационной сети Интернет </w:t>
      </w:r>
      <w:r>
        <w:rPr>
          <w:rStyle w:val="Style14"/>
          <w:rFonts w:ascii="PT Astra Serif" w:hAnsi="PT Astra Serif"/>
          <w:sz w:val="24"/>
          <w:lang w:val="en-US"/>
        </w:rPr>
        <w:t>www</w:t>
      </w:r>
      <w:r>
        <w:rPr>
          <w:rStyle w:val="Style14"/>
          <w:rFonts w:ascii="PT Astra Serif" w:hAnsi="PT Astra Serif"/>
          <w:sz w:val="24"/>
        </w:rPr>
        <w:t>.</w:t>
      </w:r>
      <w:r>
        <w:rPr>
          <w:rStyle w:val="Style14"/>
          <w:rFonts w:ascii="PT Astra Serif" w:hAnsi="PT Astra Serif"/>
          <w:sz w:val="24"/>
          <w:lang w:val="en-US"/>
        </w:rPr>
        <w:t>zakupki</w:t>
      </w:r>
      <w:r>
        <w:rPr>
          <w:rStyle w:val="Style14"/>
          <w:rFonts w:ascii="PT Astra Serif" w:hAnsi="PT Astra Serif"/>
          <w:sz w:val="24"/>
        </w:rPr>
        <w:t>.</w:t>
      </w:r>
      <w:r>
        <w:rPr>
          <w:rStyle w:val="Style14"/>
          <w:rFonts w:ascii="PT Astra Serif" w:hAnsi="PT Astra Serif"/>
          <w:sz w:val="24"/>
          <w:lang w:val="en-US"/>
        </w:rPr>
        <w:t>gov</w:t>
      </w:r>
      <w:r>
        <w:rPr>
          <w:rStyle w:val="Style14"/>
          <w:rFonts w:ascii="PT Astra Serif" w:hAnsi="PT Astra Serif"/>
          <w:sz w:val="24"/>
        </w:rPr>
        <w:t>.</w:t>
      </w:r>
      <w:r>
        <w:rPr>
          <w:rStyle w:val="Style14"/>
          <w:rFonts w:ascii="PT Astra Serif" w:hAnsi="PT Astra Serif"/>
          <w:sz w:val="24"/>
          <w:lang w:val="en-US"/>
        </w:rPr>
        <w:t>ru</w:t>
      </w:r>
      <w:r>
        <w:rPr>
          <w:rFonts w:ascii="PT Astra Serif" w:hAnsi="PT Astra Serif"/>
          <w:sz w:val="24"/>
        </w:rPr>
        <w:t xml:space="preserve"> (далее – ЕИС).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b/>
          <w:sz w:val="24"/>
        </w:rPr>
        <w:t>По результатам проверки установлено следующее.</w:t>
      </w:r>
    </w:p>
    <w:p>
      <w:pPr>
        <w:pStyle w:val="Normal"/>
        <w:spacing w:before="0" w:after="0"/>
        <w:ind w:firstLine="567"/>
        <w:jc w:val="both"/>
        <w:rPr/>
      </w:pPr>
      <w:r>
        <w:rPr>
          <w:rStyle w:val="12"/>
          <w:rFonts w:cs="Times New Roman" w:ascii="PT Astra Serif" w:hAnsi="PT Astra Serif"/>
          <w:sz w:val="24"/>
          <w:szCs w:val="24"/>
        </w:rPr>
        <w:t>Начальником Учреждения в проверяемом периоде являлась:</w:t>
      </w:r>
    </w:p>
    <w:p>
      <w:pPr>
        <w:pStyle w:val="Normal"/>
        <w:spacing w:before="0" w:after="0"/>
        <w:ind w:firstLine="567"/>
        <w:jc w:val="both"/>
        <w:rPr/>
      </w:pPr>
      <w:r>
        <w:rPr>
          <w:rStyle w:val="12"/>
          <w:rFonts w:cs="Times New Roman" w:ascii="PT Astra Serif" w:hAnsi="PT Astra Serif"/>
          <w:sz w:val="24"/>
          <w:szCs w:val="24"/>
        </w:rPr>
        <w:t>1) Луговская Е.И. (распоряжение Администрации Томской области от 15.01.2018 № 7-ра «О назначении на должность начальника областного государственного бюджетного учреждения «Парабельское районное ветеринарное управление»);</w:t>
      </w:r>
    </w:p>
    <w:p>
      <w:pPr>
        <w:pStyle w:val="Normal"/>
        <w:spacing w:before="0" w:after="0"/>
        <w:ind w:firstLine="567"/>
        <w:jc w:val="both"/>
        <w:rPr/>
      </w:pPr>
      <w:r>
        <w:rPr>
          <w:rStyle w:val="12"/>
          <w:rFonts w:cs="Times New Roman" w:ascii="PT Astra Serif" w:hAnsi="PT Astra Serif"/>
          <w:sz w:val="24"/>
          <w:szCs w:val="24"/>
        </w:rPr>
        <w:t>2) Перемитина Е.Ю. (распоряжение Администрации Томской области от 12.01.2023 № 1-ра «О назначении на должность начальника областного государственного автономного учреждения «Парабельское районное ветеринарное управление»)</w:t>
      </w:r>
    </w:p>
    <w:p>
      <w:pPr>
        <w:pStyle w:val="Normal"/>
        <w:spacing w:before="0" w:after="0"/>
        <w:ind w:firstLine="567"/>
        <w:jc w:val="both"/>
        <w:rPr/>
      </w:pPr>
      <w:r>
        <w:rPr>
          <w:rStyle w:val="12"/>
          <w:rFonts w:cs="Times New Roman" w:ascii="PT Astra Serif" w:hAnsi="PT Astra Serif"/>
          <w:sz w:val="24"/>
          <w:szCs w:val="24"/>
        </w:rPr>
        <w:t>Учреждение в период с 01.01.2021 по 23.02.2022 осуществляло свою деятельность на основании Устава Областного государственного бюджетного учреждения «Парабельское районное ветеринарное управление», утвержденного приказом Управления ветеринарии Томской области от  17.11.2011 № 141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, в период с 24.02.2022 по 31.08.2023 – на основании Устава областного государственного автономного учреждения «Парабельское районное ветеринарное управление», утвержденного распоряжением Департамента ветеринарии Томской области от 15.02.2022 № 33.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Приказом Учреждения от 09.01.2020 № 1/3а Кустова Елена Михайловна назначена контрактным управляющим.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b/>
          <w:b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</w:r>
    </w:p>
    <w:p>
      <w:pPr>
        <w:pStyle w:val="Normal"/>
        <w:spacing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>1. Положение о закупке товаров, работ, услуг для нужд Учреждения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В период с 01.01.2021 по 23.02.2022 Учреждение являлось бюджетным, соответственно согласно пункту 6 части 3 статьи 2 Федерального закона № 223-ФЗ в указанный период Положение о закупке должно утверждаться </w:t>
      </w:r>
      <w:r>
        <w:rPr>
          <w:rFonts w:cs="Times New Roman" w:ascii="PT Astra Serif" w:hAnsi="PT Astra Serif"/>
          <w:sz w:val="24"/>
          <w:szCs w:val="24"/>
        </w:rPr>
        <w:t>органом, осуществляющим функции и полномочия учредителя Учреждения.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Положение о закупке товаров, работ, услуг для нужд Учреждения утверждено распоряжением Департамента ветеринарии Томской области от 30.09.2019 № 152 «Об утверждении положения о закупке товаров, работ, услуг для нужд областного государственного бюджетного учреждения «Парабельское районное ветеринарное управление»» (далее – Положение). 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Согласно части 1 статьи 4 Федерального закона № 223-ФЗ П</w:t>
      </w:r>
      <w:r>
        <w:rPr>
          <w:rFonts w:cs="PT Astra Serif" w:ascii="PT Astra Serif" w:hAnsi="PT Astra Serif"/>
          <w:sz w:val="24"/>
          <w:szCs w:val="24"/>
        </w:rPr>
        <w:t>оложение, изменения, вносимые в указанное Положение, подлежат обязательному размещению в единой информационной системе не позднее чем в течение пятнадцати дней со дня утверждения.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Внесение изменений в Положение в течение проверяемого периода: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- распоряжение Департамента ветеринарии Томской области от 22.04.2021 № 62 (размещено в ЕИС без нарушений – 22.04.2021) – версия 15 в ЕИС;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- распоряжение Департамента ветеринарии Томской области от 30.06.2021 № 93 размещено в ЕИС без нарушений – 30.06.2021) – версия 16 в ЕИС;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- распоряжение Департамента ветеринарии Томской области от 14.09.2021 № 133 (размещено в ЕИС без нарушений – 17.09.2021) – версия 17 в ЕИС.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Новая редакция Положения утверждена распоряжением Департамента ветеринарии Томской области от 21.12.2021 № 195 (размещено в ЕИС без нарушений – 22.12.2021) – версия 18 в ЕИС.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Согласно пункту 3 части 3 Федерального закона № 223-ФЗ Положение утверждается </w:t>
      </w:r>
      <w:r>
        <w:rPr>
          <w:rFonts w:cs="PT Astra Serif" w:ascii="PT Astra Serif" w:hAnsi="PT Astra Serif"/>
          <w:sz w:val="24"/>
          <w:szCs w:val="24"/>
        </w:rPr>
        <w:t xml:space="preserve">наблюдательным советом автономного учреждения в случае, если заказчиком выступает автономное учреждение. В связи со сменой статуса Учреждения протоколом заседания наблюдательного совета ОГАУ «Парабельское райветуправление» от 11.03.2022 № 1 утверждено Положение о закупках (в ЕИС протокол и Положение размещены без нарушений – 15.03.2022) – версия 19 в ЕИС. 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Протоколом заседания наблюдательного совета ОГАУ «Парабельское райветуправление» от 14.04.2022 № 5 утверждено Положение в новой редакции с учетом рассмотренных изменений (размещено в ЕИС без нарушений – 15.04.2022) – версия 20 в ЕИС.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Протоколом заседания наблюдательного совета ОГАУ «Парабельское райветуправление» от 22.09.2022 № 8 утверждено Положение в новой редакции с учетом рассмотренных изменений (размещено в ЕИС без нарушений – 23.09.2022). Для данной версии Положения сформирован электронный вид документа, содержащего перечень внесенных изменений в Положение, который размещен в ЕИС без нарушений 23.09.2022 – версия 21 в ЕИС.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Протоколом заседания наблюдательного совета ОГАУ «Парабельское райветуправление» от 23.12.2022 № 13 утверждено Положение в новой редакции с учетом рассмотренных изменений (размещено в ЕИС без нарушений – 26.12.2022). Для данной версии Положения сформирован электронный вид документа, содержащего перечень внесенных изменений в Положение, который размещен в ЕИС без нарушений 26.12.2022 – версия 22 в ЕИС.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 xml:space="preserve">Протоколом заседания наблюдательного совета ОГАУ «Парабельское райветуправление» от 27.02.2023 № 3 утверждено Положение в новой редакции с учетом рассмотренных изменений (размещено в ЕИС без нарушений – 27.02.2023) версия 23 в ЕИС. 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Согласно требованиям подпункта а) пункта 10 положения о размещении в единой информационной системе информации о закупке, утвержденного постановлением Правительства Российской Федерации от 10.09.2012 № 908 (далее – положение о размещении информации), д</w:t>
      </w:r>
      <w:r>
        <w:rPr>
          <w:rFonts w:cs="PT Astra Serif" w:ascii="PT Astra Serif" w:hAnsi="PT Astra Serif"/>
          <w:sz w:val="24"/>
          <w:szCs w:val="24"/>
        </w:rPr>
        <w:t>ля размещения в единой информационной системе положения представитель заказчика размещает в единой информационной системе положение в электронном виде, за исключением раздела положения, предусмотренного подпунктом б) настоящего пункта. Во исполнение указанных требований Учреждение разместило в ЕИС все версии Положения в электронном виде.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 xml:space="preserve">В соответствии с пунктом 12 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положения о размещении информации </w:t>
      </w:r>
      <w:r>
        <w:rPr>
          <w:rFonts w:cs="PT Astra Serif" w:ascii="PT Astra Serif" w:hAnsi="PT Astra Serif"/>
          <w:sz w:val="24"/>
          <w:szCs w:val="24"/>
        </w:rPr>
        <w:t>для размещения информации о внесении изменений в положение о закупке представитель заказчика в соответствии с пунктом 10 положения о размещении информации размещает измененный электронный вид положения о закупке и при необходимости вносит изменения в документ, содержащий основные сведения о положении о закупке.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 xml:space="preserve">Таким образом, при внесении изменений в положение Учреждению необходимо было разместить в ЕИС измененный электронный вид Положения, а также электронный вид документа, содержащего перечень внесенных изменений в Положение. </w:t>
      </w:r>
      <w:r>
        <w:rPr>
          <w:rFonts w:cs="PT Astra Serif" w:ascii="PT Astra Serif" w:hAnsi="PT Astra Serif"/>
          <w:b/>
          <w:bCs/>
          <w:sz w:val="24"/>
          <w:szCs w:val="24"/>
        </w:rPr>
        <w:t xml:space="preserve">В нарушение указанных требований </w:t>
      </w:r>
      <w:r>
        <w:rPr>
          <w:rFonts w:cs="PT Astra Serif" w:ascii="PT Astra Serif" w:hAnsi="PT Astra Serif"/>
          <w:b/>
          <w:sz w:val="24"/>
          <w:szCs w:val="24"/>
        </w:rPr>
        <w:t>в 5</w:t>
      </w:r>
      <w:r>
        <w:rPr>
          <w:rFonts w:cs="PT Astra Serif" w:ascii="PT Astra Serif" w:hAnsi="PT Astra Serif"/>
          <w:b/>
          <w:bCs/>
          <w:sz w:val="24"/>
          <w:szCs w:val="24"/>
        </w:rPr>
        <w:t xml:space="preserve"> случаях электронный вид документа, содержащего перечень внесенных в Положение изменений, Учреждением </w:t>
      </w:r>
      <w:r>
        <w:rPr>
          <w:rFonts w:cs="PT Astra Serif" w:ascii="PT Astra Serif" w:hAnsi="PT Astra Serif"/>
          <w:b/>
          <w:sz w:val="24"/>
          <w:szCs w:val="24"/>
        </w:rPr>
        <w:t xml:space="preserve">в ЕИС </w:t>
      </w:r>
      <w:r>
        <w:rPr>
          <w:rFonts w:cs="PT Astra Serif" w:ascii="PT Astra Serif" w:hAnsi="PT Astra Serif"/>
          <w:b/>
          <w:bCs/>
          <w:sz w:val="24"/>
          <w:szCs w:val="24"/>
        </w:rPr>
        <w:t>не размещен (для версии Положений в ЕИС № 15, 16, 17, 20, 23).</w:t>
      </w:r>
      <w:r>
        <w:rPr>
          <w:rFonts w:cs="PT Astra Serif" w:ascii="PT Astra Serif" w:hAnsi="PT Astra Serif"/>
          <w:b/>
          <w:sz w:val="24"/>
          <w:szCs w:val="24"/>
        </w:rPr>
        <w:t xml:space="preserve"> </w:t>
      </w:r>
      <w:r>
        <w:rPr>
          <w:rFonts w:cs="PT Astra Serif" w:ascii="PT Astra Serif" w:hAnsi="PT Astra Serif"/>
          <w:sz w:val="24"/>
          <w:szCs w:val="24"/>
        </w:rPr>
        <w:t xml:space="preserve">Для версии № 23 Положения сформирован </w:t>
      </w:r>
      <w:r>
        <w:rPr>
          <w:rFonts w:cs="PT Astra Serif" w:ascii="PT Astra Serif" w:hAnsi="PT Astra Serif"/>
          <w:b/>
          <w:sz w:val="24"/>
          <w:szCs w:val="24"/>
        </w:rPr>
        <w:t>только графический вид документа, содержащий</w:t>
      </w:r>
      <w:bookmarkStart w:id="0" w:name="_GoBack"/>
      <w:bookmarkEnd w:id="0"/>
      <w:r>
        <w:rPr>
          <w:rFonts w:cs="PT Astra Serif" w:ascii="PT Astra Serif" w:hAnsi="PT Astra Serif"/>
          <w:b/>
          <w:sz w:val="24"/>
          <w:szCs w:val="24"/>
        </w:rPr>
        <w:t xml:space="preserve"> перечень внесенных изменений в Положение,</w:t>
      </w:r>
      <w:r>
        <w:rPr>
          <w:rFonts w:cs="PT Astra Serif" w:ascii="PT Astra Serif" w:hAnsi="PT Astra Serif"/>
          <w:sz w:val="24"/>
          <w:szCs w:val="24"/>
        </w:rPr>
        <w:t xml:space="preserve"> который размещен в ЕИС без нарушений 27.02.2023.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b/>
          <w:sz w:val="24"/>
          <w:szCs w:val="24"/>
        </w:rPr>
        <w:t>2. Планы закупок товаров, работ, услуг.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В соответствии с частью 2 статьи 4 Федерального закона № 223-ФЗ Заказчик размещает в единой информационной системе план закупки товаров, работ, услуг на срок не менее чем один год. Порядок формирования плана закупки товаров, работ, услуг, порядок и сроки размещения в единой информационной системе, на официальном сайте единой информационной системы в информационно-телекоммуникационной сети «Интернет» такого плана, требования к форме такого плана устанавливаются Правительством Российской Федерации.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 xml:space="preserve">В соответствии с частью 3 статьи 4 Федерального закона № 223-ФЗ план закупки инновационной продукции, высокотехнологичной продукции, лекарственных средств размещается заказчиком в единой информационной системе на период от пяти до семи лет. 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В соответствии с пунктом 14 положения о размещении информации размещение плана закупки товаров, работ, услуг, информации о внесении в него изменений в единой информационной системе осуществляется в течение 10 календарных дней с даты утверждения плана или внесения в него изменений. Размещение плана закупки в единой информационной системе осуществляется не позднее 31 декабря текущего календарного года.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В соответствии с пунктом 4 правил формирования плана закупки товаров (работ, услуг), утвержденных постановлением Правительства РФ от 17.09.2012 № 932, в план закупки может не включаться информация о закупках, стоимость которых не превышает сто тысяч рублей.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 xml:space="preserve">В проверяемом периоде: 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1) 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План закупок товаров, работ, услуг на 2021 год утвержден 21.12.2020 и размещен в ЕИС без нарушения установленного срока - 21.12.2020.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ascii="PT Astra Serif" w:hAnsi="PT Astra Serif"/>
          <w:sz w:val="24"/>
          <w:szCs w:val="24"/>
        </w:rPr>
        <w:t>2) 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План закупок товаров, работ, услуг на 2022 год утвержден 22.12.2021 и размещен в ЕИС без нарушения установленных сроков - 22.12.2021.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3) План закупок товаров, работ, услуг на 2023 год утвержден приказом Учреждения от 14.12.2022 № 1/30, в открытой части ЕИС план не отображается, при этом Учреждение предоставило к проверке скриншот плана закупок на 2023 год из личного кабинета, размещенного без нарушения установленных сроков - 16.12.2022. Кроме того, Учреждение направило запрос в службу технической поддержки с целью выяснения причины неотображения плана в открытой части ЕИС.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ascii="PT Astra Serif" w:hAnsi="PT Astra Serif"/>
          <w:sz w:val="24"/>
          <w:szCs w:val="24"/>
        </w:rPr>
        <w:t>4) План закупки инновационной продукции, высокотехнологичной продукции и лекарственных средств на 2020-2024 годы утвержден 27.12.2019 и размещен в ЕИС без нарушения сроков - 27.12.2019. Соответствующие закупки не планировались, соответственно в ЕИС размещен пустой план закупки инновационной продукции, высокотехнологичной продукции и лекарственных средств.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ascii="PT Astra Serif" w:hAnsi="PT Astra Serif"/>
          <w:sz w:val="24"/>
          <w:szCs w:val="24"/>
        </w:rPr>
        <w:t>5) План закупки инновационной продукции, высокотехнологичной продукции и лекарственных средств на 2023-2027 годы утвержден 15.12.2022 и размещен в ЕИС без нарушения сроков - 16.12.2022. Соответствующие закупки не планировались, соответственно в ЕИС размещен пустой план закупки инновационной продукции, высокотехнологичной продукции и лекарственных средств.</w:t>
      </w:r>
    </w:p>
    <w:p>
      <w:pPr>
        <w:pStyle w:val="Normal"/>
        <w:spacing w:lineRule="auto" w:line="240" w:before="0" w:after="0"/>
        <w:ind w:firstLine="567"/>
        <w:rPr/>
      </w:pPr>
      <w:r>
        <w:rPr>
          <w:rFonts w:cs="Times New Roman" w:ascii="PT Astra Serif" w:hAnsi="PT Astra Serif"/>
          <w:b/>
          <w:sz w:val="24"/>
          <w:szCs w:val="24"/>
        </w:rPr>
        <w:t>3.</w:t>
      </w:r>
      <w:r>
        <w:rPr>
          <w:rFonts w:ascii="PT Astra Serif" w:hAnsi="PT Astra Serif"/>
          <w:sz w:val="24"/>
          <w:szCs w:val="24"/>
        </w:rPr>
        <w:t> </w:t>
      </w:r>
      <w:r>
        <w:rPr>
          <w:rFonts w:cs="Times New Roman" w:ascii="PT Astra Serif" w:hAnsi="PT Astra Serif"/>
          <w:b/>
          <w:sz w:val="24"/>
          <w:szCs w:val="24"/>
        </w:rPr>
        <w:t>Закупки у единственного поставщика.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Регламент закупки у единственного поставщика (исполнителя, подрядчика) утвержден начальником Учреждения 03.03.2022 (вторая версия от 01.10.2022).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Перечень договоров, заключенных Учреждением в проверяемом периоде и предоставленных на бумажном носителе, представлен в таблице № 1.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Также в таблице отражена информация о том, относится ли поставщик к субъектам малого и среднего предпринимательства (далее – СМСП).</w:t>
      </w:r>
    </w:p>
    <w:p>
      <w:pPr>
        <w:pStyle w:val="Normal"/>
        <w:spacing w:lineRule="auto" w:line="240" w:before="0" w:after="0"/>
        <w:jc w:val="right"/>
        <w:rPr/>
      </w:pPr>
      <w:r>
        <w:rPr>
          <w:rFonts w:cs="PT Astra Serif" w:ascii="PT Astra Serif" w:hAnsi="PT Astra Serif"/>
          <w:sz w:val="24"/>
          <w:szCs w:val="24"/>
        </w:rPr>
        <w:t>Таблица № 1</w:t>
      </w:r>
    </w:p>
    <w:tbl>
      <w:tblPr>
        <w:tblStyle w:val="af9"/>
        <w:tblW w:w="10348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708"/>
        <w:gridCol w:w="2836"/>
        <w:gridCol w:w="2410"/>
        <w:gridCol w:w="2977"/>
        <w:gridCol w:w="1417"/>
      </w:tblGrid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№ 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Договоры, представленные на бумажном носителе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Поставщик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Способ определения поставщика (коммерческие предложения при наличии)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СМСП (да/нет)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01.12.2021 № 3 на сумму 3 900,00 рублей (предрейсовый осмотр автомобиля)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Анисимов С.А.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Закупка у единственного поставщика (пп.29 п.186 Положения) 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09.02.2021 № 2 на сумму 26 600,00 рублей (товары вет.применения)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03.02.2021 № 1 на сумму 16 100,00 рублей (вет.применение)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11.01.2021 № б/н на сумму 5 000,00 рублей (размещение в газете)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АНО ИЦ  «Нарымские вести»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01.01.2021 № 5290008 на сумму 95 200,00 рублей (услуги связи)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«Ростелеком»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11.02.2021 № б/н на сумму 4 600,00 рублей ( изготовление копий)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«Центр полиграфических услуг»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12.02.2021 № 9 на сумму 5 000,00 рублей (услуги перевозки)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Фатеева Т.В.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10.02.2021 № 3 на сумму 73 300,00 рублей (генератор «ЭХА 1500»)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«Партнер-Вет» СПб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(2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10.02.2021 № 4 на сумму 22 800,00 рублей (скалер)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«Партнер-Вет» СПб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29.03.2021 № 8 на сумму 32 322,00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18.03.2021 № 70121031526539 на сумму 4 550,00 рублей (право пользования программой)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«Компания «Тензор»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12.03.2021 № 0161/21 на сумму 4 000,00 рублей (услуги оценки)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«Центр независимой экспертизы и оценки»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09.03.2021 № 4 на сумму 5 000,00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ОГБПОУ «ТАК»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03.03.2021 № 77 на сумму 580,00 рублей (услуги утилизации)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«Рембыттехника-Сервис»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01.03.2021 № 27/21/ТКО/П на сумму 4 403,16 рублей (услуги обращения с тко)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«ТКС»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27.04.2021 № 2649-50-АИ на сумму 9 900,00 рублей ()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«Аюдар Инфо»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(пп.12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21.04.2021 № 17 на сумму 5 000,00 рублей (услуги перевозки)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Фатеева Т.В.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14.04.2021 № б/н на сумму 4 380,00 рублей (размещение в газете)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АНО ИЦ  «Нарымские вести»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13.04.2021 № 9 на сумму 27 133,00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01.04.2021 № 21770</w:t>
            </w:r>
            <w:r>
              <w:rPr>
                <w:rFonts w:cs="PT Astra Serif" w:ascii="PT Astra Serif" w:hAnsi="PT Astra Serif"/>
                <w:sz w:val="24"/>
                <w:szCs w:val="24"/>
                <w:lang w:val="en-US"/>
              </w:rPr>
              <w:t>G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1</w:t>
            </w:r>
            <w:r>
              <w:rPr>
                <w:rFonts w:cs="PT Astra Serif" w:ascii="PT Astra Serif" w:hAnsi="PT Astra Serif"/>
                <w:sz w:val="24"/>
                <w:szCs w:val="24"/>
                <w:lang w:val="en-US"/>
              </w:rPr>
              <w:t>D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00086 на сумму 2 280,00 рублей (услуги страхования)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САО «ВСК»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(пп.4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24.05.2021 № 389 на сумму 2 000,00 рублей (услуги образовательные)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АНО ДПО СЦОиПК «Просвещение»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25.05.2021 № БУБ-7/2021 на сумму 8 200,00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ФГБОУ ТИПКиА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27.05.2021 № 12 на сумму 26 900,00 рублей (видеорегистратор и накопитель)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«Профи Плюс»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18.05.2021 № 11 на сумму 12 500,00 рублей (замена фискального накопителя)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«Компания «Тензор»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25.05.2021 № 43/2021 на сумму 21 030,00 рублей (медицинские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ОГБУЗ «Парабельская РБ»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17.05.2021 № 10 на сумму 30 000,00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12.05.2021 № 925 на сумму 1 755,54 рублей (поставка период.изданий)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АО «Почта России»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28.06.2021 № Л/О-2353 на сумму 4 745,82 рублей (вет.применение)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12.05.2021 № 13 на сумму 3 570,00 рублей (шприцы)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«Фирма «Биоветсервис»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>
          <w:trHeight w:val="1380" w:hRule="atLeast"/>
        </w:trPr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17.05.2021 № О/Л-761 на сумму 702,60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08.06.2021 № </w:t>
            </w:r>
            <w:r>
              <w:rPr>
                <w:rFonts w:cs="PT Astra Serif" w:ascii="PT Astra Serif" w:hAnsi="PT Astra Serif"/>
                <w:sz w:val="24"/>
                <w:szCs w:val="24"/>
                <w:lang w:val="en-US"/>
              </w:rPr>
              <w:t>z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059430156/21 УЦ на сумму 3 000,00 рублей (право использования программы)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«Сертум-Про»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17.06.2021 № Л/О-2348 на сумму 4 936,58 рублей (товар 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18.06.2021 № 006/21-ОТ на сумму 1 404,00 рублей (образ.услуги)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ФГБУ «ЦЛАТИ по СФО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18.06.2021 № Л/О-2349 на сумму 2 372,91 рублей (товар 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28.06.2021 № 14 на сумму 13 989,00 рублей (мотокоса)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«ТЦ Сибирь»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01.06.2021 № 1 на сумму 3 900,00 рублей (предрейсовый осмотр авто)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Анисимов С.А.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04.06.2021 № 13 на сумму 26 600,00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28.07.2021 № б/н на сумму 2 400,00 рублей (ТО и перезарядка огнетушителя)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Томское отделение общероссийской общественной организации «Всероссийское добровольное пожарное общество»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07.07.2021 № 503/21 на сумму 8 988,00 рублей (подписка)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«БИЗНЕС.РУ»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(пп.12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30.07.2021 № 16 на сумму 33 936,00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41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03.08.2021 № 17 на сумму 16 620,00 рублей (бирки ушные)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Жаркова А.А.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10.12.2022)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42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06.07.2021 № 13 на сумму 21 950,00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43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Договор от 07.07.2021 № 11-21/2371 на сумму 2 307,60 рублей (замена прибора учета газа)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ООО «Газпром газораспределение Томск»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44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30.09.2021 № 20 на сумму 33 085,00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30.08.2021 № б/н на сумму 1 700,00 рублей (ТО и перезарядка огнетушителя)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Томское отделение общероссийской общественной организации «Всероссийское добровольное пожарное общество»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46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13.08.2021 № 18 на сумму 13 860,00 рублей (оценка рисков)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«АТОН-ТОМСК»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47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02.09.2021 № б/н на сумму 2 400,00 рублей (бланочная продукция)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«Центр полиграфических услуг»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48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06.08.2021 № О/Л-777 на сумму 1 129,00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49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06.08.2021 № б/н на сумму 4 800,00 рублей (бланочная продукция)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«Центр полиграфических работ»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01.08.2021 № 5290008 на сумму 70 000,00 рублей (услуги связи)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«Ростелеком»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51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01.08.2021 № 20 на сумму 5 000,00 рублей (услуги перевозки)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Фатеева Т.В.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52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09.09.2021 № 6392-50-АИ на сумму 1 500,00 рублей (каталог ИСС)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«Аюдар Инфо»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53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22.09.2021 № б/н на сумму 3 870,00 рублей (подписка)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«КОМПАС ПЛЮС»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54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08.09.2021 № 19 на сумму 35 251,63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55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01.09.2021 № 2 на сумму 3 900,00 рублей (предрейсовый осмотр автомобиля)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Анисимов С.А.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Закупка у единственного поставщика (пп.29 п.186 Положения) 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56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07.10.2021 № 060 на сумму 800,00 рублей (предрейсовый осмотр автомобиля)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Анисимов С.А.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Закупка у единственного поставщика (пп.29 п.186 Положения) 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57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29.10.2021 № 21 на сумму 21 173,25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58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11.10.2021 № 1938 на сумму 1 790,40 рублей (поставка период.изданий)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АО «Почта России»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59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04.10.2021 № 62/21-000017 на сумму 4 683,90 рублей (услуги страхования авто)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АО «ГСК «Югория»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(пп.4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60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17.11.2021 № КТ-1562 на сумму 2 899,00 рублей (ПО)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«ЭКСПЕРТ СЕРВИС»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61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26.11.2021 № 22 на сумму 20 675,13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62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10.11.2021 № 62/21-000021 на сумму 4 683,90 рублей (услуги страхования авто)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АО «ГСК «Югория»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(пп.4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63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15.11.2021 № 33 на сумму 5 000,00 рублей (услуги перевозки)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Фатеева Т.В.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64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20.12.2021 № 3 на сумму 4 600,00 рублей (услуги по очистке снега)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Казюков Ю.М.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65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01.11.2021 № б/н на сумму 420,00 рублей (размещение в газете)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АНО ИЦ  «Нарымские вести»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66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15.12.2021 № б/н на сумму 4 790,00 рублей (бланочная продукция)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«Центр полиграфических услуг»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67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13.12.2021 № 24 на сумму 25 524,30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68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03.12.2021 № 2 на сумму 3 450,00 рублей (услуги по очистке снега)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Казюков Ю.М.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69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30.12.2021 № 1 на сумму 18 000,00 рублей (монтаж системы пож.сигнализации)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«СИБСПЕЦМОНТАЖ»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70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21.12.2021 № б/н на сумму 91 800,00 рублей (бензин)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«СИБ-ВЕСТ ПЛЮС»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71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10.01.2022 № РА-22/70/007 на сумму 86 400,00 рублей (право использования ПО)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«Агросервис»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72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01.01.2022 № 2-22/32 на сумму 11 816,48 рублей (то объекта системы газоснабжения)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«Газпром газораспределение Томск»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73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01.01.2022 № 5290008 на сумму 98 000,00 рублей (услуги связи)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«Ростелеком»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(пп.24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74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04.04.2022 № 25 на сумму 6 900,00 рублей (услуги перевозки)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Фатеева Т.В.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75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03.02.2022 № Л/О-07 на сумму 4 745,85 рублей (товар 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76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14.03.2022 № б/н на сумму 58 500,00 рублей (спермопродукция и жидкий азот)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ОГАУ «Томское ветобъединение»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77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25.02.2022 № б/н на сумм 1 589,00 рублей (штемпельная продукция)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«ПолиграфычЪ-Томск»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78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15.02.2022 № </w:t>
            </w:r>
            <w:r>
              <w:rPr>
                <w:rFonts w:cs="PT Astra Serif" w:ascii="PT Astra Serif" w:hAnsi="PT Astra Serif"/>
                <w:sz w:val="24"/>
                <w:szCs w:val="24"/>
                <w:lang w:val="en-US"/>
              </w:rPr>
              <w:t>z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023400040/22 на суму 14 625,00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АНО ДПО «Учебный центр СКБ Контур»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79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25.02.2022 № 5 на сумму 16 985,73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80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11.02.2022 № 3 на сумму 9 309,45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81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10.02.2022 № 19 на сумму 10 000,00 рублей (услуги перевозки)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Фатеева Т.В.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82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11.02.2022 № Л/О-08 на сумму 1 256,50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83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03.02.2022 № 4 на сумму 2 300,00 рублей (услуги по очистке снега)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Казюков Ю.М.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84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04.02.2022 № 1 на сумму 68 075,07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85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04.02.2022 № 2 на сумму 39 180,00 рублей (бирки ушные)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«СИБАГРОСЕРВИС»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86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22.03.2022 № б/н на сумму 2 682,00 рублей (бланочная продукция)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«Центр полиграфических услуг»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87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04.03.2022 № Л/О-23 на сумму 4 260,00 рублей (вет.применение)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88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04.03.2022 № 7 на сумму 4 600,00 рублей (услуги по очистке снега)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Казюков Ю.М.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89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29.04.2022 № 449457576 на сумму 7 219,00 рублей (образоват.услуги)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«Центр НЭО»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90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19.04.2022 № БУ/2022-2 на сумму 8 600,00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ФГБОУ ТИПКиА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91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15.04.2021 № 22770</w:t>
            </w:r>
            <w:r>
              <w:rPr>
                <w:rFonts w:cs="PT Astra Serif" w:ascii="PT Astra Serif" w:hAnsi="PT Astra Serif"/>
                <w:sz w:val="24"/>
                <w:szCs w:val="24"/>
                <w:lang w:val="en-US"/>
              </w:rPr>
              <w:t>G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1</w:t>
            </w:r>
            <w:r>
              <w:rPr>
                <w:rFonts w:cs="PT Astra Serif" w:ascii="PT Astra Serif" w:hAnsi="PT Astra Serif"/>
                <w:sz w:val="24"/>
                <w:szCs w:val="24"/>
                <w:lang w:val="en-US"/>
              </w:rPr>
              <w:t>D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00314 на сумму 2 090,00 рублей (услуги страхования)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САО «ВСК»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(пп.4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92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08.04.2022 № б/н на сумму 2 682,00 рублей (бланочная продукция)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«Центр полиграфических услуг»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93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01.04.2022 № 8 на сумму 4 600,00 рублей (услуги по очистке снега)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Казюков Ю.М.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94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08.04.2022 № Л/О-26 на сумму 2 349,00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95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11.04.2022 № 7012203187967 на сумму 5 950,00 рублей (право пользования программой)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«Компания «Тензор»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96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12.04.2022 № 7012203141297 на сумму 1 110,00 рублей (перерегистрация ККТ)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«Компания «Тензор»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97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08.04.2022 № 9 на сумму 38 240,50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98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30.05.2022 № 11 на сумму 37 729,13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99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12.05.2022 № 10 на сумму 18 534,32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05.05.2022 № б/н на сумму 5 172,00 рублей (бланочная продукция)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«Центр полиграфических работ»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101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16.05.2022 № 794/22-Ф70 на сумму 1 553,64 рублей (поставка период.изданий)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АО «Почта России»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102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05.05.2022 № б/н на сумму 10 000,00 рублей (размещение в газете)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АНО ИЦ  «Нарымские вести»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103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28.07.2022 № 15 на сумму 15 735,21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104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15.06.2022 № 12 на сумму 27 253,23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105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13.07.2022 № 13 на сумму 28 370,05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106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19.07.2022 № 460/22 на сумму 9 996,00 рублей (подписка на комплект электронных журналов)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«БИЗНЕС.РУ»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107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14.07.2022 № 14 на сумму 55 490,00 рублей (газовый котел)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«Профи Плюс»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108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01.07.2021 № 5290008 (сумма не указана) (услуги связи)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«Ростелеком»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(пп.24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109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16.08.2022 № 176/У на сумму 2 580,00 рублей (ТО и перезарядка огнетушителя)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Томское отделение общероссийской общественной организации «Всероссийское добровольное пожарное общество»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19.08.2022 № 18 на сумму 52 790,00 рублей (газовый котел)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«Профи Плюс»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111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17.08.2022 № 17 на сумму 40 860,68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112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18.05.2021 № 11 на сумму 12 500,00 рублей (замена фискального накопителя с услугой перерегистрации)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«Компания «Тензор»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27.09.2022 № б/н на сумму 3 870,00 рублей (приложение Эвотор)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«КОМПАС ПЛЮС»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114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30.09.2022 № 19 на сумму 52 528,59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115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14.10.2022 № Л/О-80 на сумму 5 012,00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116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10.10.2022 № б/н на сумму 6 042,00 рублей (бланочная продукция)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«Центр полиграфических услуг»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117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04.10.2022 № 35 на сумму 10 000,00 рублей (услуги перевозки)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Фатеева Т.В.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118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21.12.2022 № 24 на сумму 26 000,00 рублей (бумага)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Меденцева Т.А.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119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12.10.2022 № 1547/22-Ф70 на сумму 1 643,94 рублей (поставка период.изданий)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АО «Почта России»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120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11.11.2022 № ИПКТ-002068 на сумму 2 999,00 рублей (ПО)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Деревянкин Д.В.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121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02.11.2022 № 1056 на сумму 2 290,00 рублей (изготовление штампов)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«Центр новых технологий»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122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03.11.2022 № Л/О-88 на сумму 5 900,00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123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03.12.2022 № 23 на сумму 33 816,00 рублей (сопровождение системы 1С:Предприятие)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«ВАНТ»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124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21.11.2022 № 62/21-000028 на сумму 7 319,37 рублей услуги страхования авто)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АО «ГСК «Югория»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(пп.4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125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11.11.2022 № 20 на сумму 47 408,08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126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07.11.2022 № 2022.Б001 на сумму 4 500,00 рублей (вебинар)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Силенкова Ю.А.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127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03.12.2022 № 23 на сумму 33 816,00 рублей (сопровождение системе 1С:Предприятие)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«ВАНТ»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128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12.12.2022 № 23 на сумму 40 122,82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129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01.01.2023 № 35т-4-1811/23 на сумму 166 499,42 рублей (поставка газа)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«Газпром межрегионгаз Новосибирск»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130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Контракт от 28.12.2022 № </w:t>
            </w:r>
            <w:r>
              <w:rPr>
                <w:rFonts w:ascii="PT Astra Serif" w:hAnsi="PT Astra Serif"/>
                <w:sz w:val="24"/>
                <w:szCs w:val="24"/>
              </w:rPr>
              <w:t>70040120000353 на сумму 75 900,00 рублей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АО «Томскэнергосбыт»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131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01.01.2023 № 5290008 на сумму 178 000,00 рублей (услуги связи)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«Ростелеком»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(пп.24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132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01.01.2023 № 10 на сумму 12 940,00 рублей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МУП «Нарымское ЖКХ»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133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09.01.2023 №</w:t>
            </w:r>
            <w:r>
              <w:rPr>
                <w:rFonts w:ascii="PT Astra Serif" w:hAnsi="PT Astra Serif"/>
              </w:rPr>
              <w:t>7В/23 на сумму 3 296,58 рублей (холодное водоснабжение)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МУП «Строитель»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134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07.02.2023 № 1 на сумму 2 032,91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Да 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135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08.02.2023 № 2 на сумму 9 726,54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136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08.02.2023 № 3 на сумму 3 944,32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137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08.02.2023 № 4 на сумму 11 032,74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138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08.02.2023 № 5 на сумму 9 086,24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139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08.02.2023 № 6 на сумму 2 271,00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140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08.02.2023 № 7 на сумму 47 919,00 рублей (расходные материалы)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Шерстобоев А.С.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141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01.03.2023 № 1 на сумму 7 800,00 рублей (предрейсовый осмотр)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Анисимов С.А.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142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10.01.2023 № 03 на сумму 8 000,00 рублей (вода)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Фатеева Т.В.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143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31.01.2023 № 1 на сумму 90 000,00 рублей (бензин)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«СИБ-ВЕСТ ПЛЮС»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144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16.02.2023 № 1 на сумму 26 400,00 рублей (дрова)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Шумилов А.Г.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145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01.03.2023 № б/н на сумму 5 254,00 рублей (бланочная продукция)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«Центр полиграфических услуг»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146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10.02.2023 № 10 на сумму 10 000,00 рублей (услуги перевозки)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Фатеева Т.В.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147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01.02.2023 № РА-23/70/007 на сумму 60 000,00 рублей (право использования ПО)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«Агросервис»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148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21.02.2023 № Л/О-05 на сумму 5 012,00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149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27.12.2022 № 46/2022 на сумму 22 570,00 рублей (предрейсовый осмотр)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ОГБУЗ «Парабельская РБ»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150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29.03.2023 № 2-23/53 на сумму 15 856,34 рублей (ТО газопровода)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«Газпром газораспределение Томск»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151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30.03.2023 № 13 на сумму 17 533,67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152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30.03.2023 № 12 на сумму 8 032,00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153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30.03.2023 № 10 на сумму 2 898,06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154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30.03.2023 № 11 на сумму 11 921,38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155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30.03.2023 № 2 на сумму 8 106,15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156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30.03.2023 № 8 на сумму 1 941,77 рублей (ветпрепараты)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157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06.03.2023 № ВУБ 15/2023 на сумму 4 800,00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ФГБОУ ТИПКиА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158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16.03.2023 № Л/О-10 на сумму 6 730,00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159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06.03.2023 № б/н на сумму 48 900,00 рублей (спермопродукция и жидкий азот)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ОГАУ «Томское ветобъединение»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160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30.03.2023 № 70123033012412 на сумму 6 150,00 рублей (право использования программы)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«Компания «Тензор»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161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17.04.2023 № 278 ПК/ЦВ-23 на сумму 6 700,00 рублей (образоват.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ФГБУ «Центр ветеринарии»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162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30.05.2023 № 670000057700 на сумму 14 400,00 рублей (услуги связи)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«Ростелеком»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(пп.24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163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27.04.2023 № 15 на сумму 487,00 рублей (шприцы)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164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27.04.2023 № 14 на сумму 8 351,77 рублей (вет. 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165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02.05.2023 № 16 на сумму 5 686,74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166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14.04.2023 № б/н на сумму 7 726,00 рублей (размещение в газете)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АНО ИЦ  «Нарымские вести»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167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17.04.2023 № 23770</w:t>
            </w:r>
            <w:r>
              <w:rPr>
                <w:rFonts w:cs="PT Astra Serif" w:ascii="PT Astra Serif" w:hAnsi="PT Astra Serif"/>
                <w:sz w:val="24"/>
                <w:szCs w:val="24"/>
                <w:lang w:val="en-US"/>
              </w:rPr>
              <w:t>G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1</w:t>
            </w:r>
            <w:r>
              <w:rPr>
                <w:rFonts w:cs="PT Astra Serif" w:ascii="PT Astra Serif" w:hAnsi="PT Astra Serif"/>
                <w:sz w:val="24"/>
                <w:szCs w:val="24"/>
                <w:lang w:val="en-US"/>
              </w:rPr>
              <w:t>D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00160 на сумму 2 200,00 рублей (услуги страхования)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САО «ВСК»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(пп.4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168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25.05.2023 № 17 на сумму 1 218,86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169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25.05.2023 № 18 на сумму 10 687,11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170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25.05.2023 № 19 на сумму 1 581,29 рублей (иглы, шприцы)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171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25.05.2023 № 20 на сумму 5 706,89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172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21.05.2023 № 21 на сумму 19 368,72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173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26.06.2023 № 23У-243 на сумму 6 000,00 рублей (информационные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«Альфацентр»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174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23.06.2023 № 7012306221143 на сумму 5 500,00 рублей (право использования программы)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«Компания «Тензор»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175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23.06.2023 № 23 на сумму 2 252,78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176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24.06.2023 № 24 на сумму 11 316,36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177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23.06.2023 № 25 на сумму 1 865,50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178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23.06.2023 № 26 на сумму 2 877,00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179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23.06.2023 № 27 на сумму 1 406,70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180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23.06.2023 № 28 на сумму 14 767,49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181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25.05.2023 № б/н на сумму 5 496,00 рублей (квитанции)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«Центр полиграфических услуг»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182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05.06.2023 № 79/У на сумму 5 080,00 рублей (ТО огнетушителя)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Томское отделение общероссийской общественной организации «Всероссийское добровольное пожарное общество»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183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30.06.2023 № 31 на сумму 1 188,15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184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30.06.2023 № 30 на сумму 5 686,74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185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30.06.2023 № 29 на сумму 1 157,00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186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19.07.2023 № 32 на сумму 65 000,00 рублей (аквадистиллятор)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Касимов И.Н.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187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Договор от 17.05.2023 № Ш007161/23 на сумму 4 425,00 рублей (образоват.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АНО ДПО «Учебный центр СКБ Контур»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 (2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188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31.07.2023 № 33 на сумму 1 468,48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189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31.07.2023 № 34 на сумму 430,26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190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31.07.2023 № 35 на сумму 8 240,58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191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31.07.2023 № 36 на сумму 3 657,81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192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31.07.2023 № 37 на сумму 827,00 рублей (шприцы)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193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31.07.2023 № 38 на сумму 554,12 рублей (микрочипы)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194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16.06.2023 № 980/23-Ф70 на сумму 1 487,76 рублей (поставка период.изданий)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АО «Почта России»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195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Договор от 01.01.2023 № 0219-2 на сумму 11 818,78 рублей (ТКО)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ООО «Партнер»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196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08.09.2023 № 46 на сумму 3 431,20 рублей (шприцы, вет. 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197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12.07.2023 № 367/23 на сумму 12 600,00 рублей (подписка на комплект электронных журналов)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«БИЗНЕС.РУ»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(пп.11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198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14.08.2023 № 39 на сумму 5 496,00 рублей (квитанции)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«Центр полиграфических услуг»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199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25.08.2023 № 40 на сумму 9 971,34 рублей (ошейники, вет. 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200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25.08.2023 № 41 на сумму 891,20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201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25.08.2023 № 42 на сумму 8 611,89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202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25.08.2023 № 45 на сумму 7 815,90 рублей (шприцы, иглы)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203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25.08.2023 № 44 на сумму 2 870,73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204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25.08.2023 № 43 на сумму 18 237,32 рублей (вет. 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 (3 КП)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205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25.08.2023 № 70123082516847 на сумму 7 500,00 рублей (право использования программы)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«Компания «Тензор»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</w:tbl>
    <w:p>
      <w:pPr>
        <w:pStyle w:val="Normal"/>
        <w:spacing w:lineRule="auto" w:line="240" w:before="0" w:after="0"/>
        <w:jc w:val="both"/>
        <w:rPr/>
      </w:pPr>
      <w:r>
        <w:rPr>
          <w:rFonts w:cs="PT Astra Serif" w:ascii="PT Astra Serif" w:hAnsi="PT Astra Serif"/>
          <w:sz w:val="24"/>
          <w:szCs w:val="24"/>
        </w:rPr>
        <w:tab/>
        <w:t xml:space="preserve">В соответствии с подпунктом 28 пункта 186 Положения в редакции, действующей с 01.01.2021 до 22.12.2021, Учреждение вправе провести закупку у единственного поставщика товаров, работ, услуг на сумму, не превышающую пяти тысяч рублей, и в редакции, действующей с 22.12.2021, Учреждение вправе провести закупку у единственного поставщика товаров, работ, услуг на сумму, не превышающую десяти тысяч рублей. 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В соответствии с пунктом 4 правил формирования плана закупок товаров (работ, услуг), утвержденных постановлением Правительства РФ от 17.09.2012 № 932 «Об утверждении Правил формирования плана закупки товаров (работ, услуг) и требований к форме такого плана» в</w:t>
      </w:r>
      <w:r>
        <w:rPr>
          <w:rFonts w:cs="PT Astra Serif" w:ascii="PT Astra Serif" w:hAnsi="PT Astra Serif"/>
          <w:bCs/>
          <w:sz w:val="24"/>
          <w:szCs w:val="24"/>
        </w:rPr>
        <w:t xml:space="preserve"> план закупки может не включаться информация о закупках, указанных в пунктах 1 - 3 части 15 статьи 4 Федерального закона № 223-ФЗ, в случае принятия заказчиком решения о неразмещении сведений о таких закупках в единой информационной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bCs/>
          <w:sz w:val="24"/>
          <w:szCs w:val="24"/>
        </w:rPr>
        <w:t>В течение проверяемого периода были заключены следующие договоры, стоимость которых превышает 100 000,00 рублей: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bCs/>
          <w:color w:val="000000" w:themeColor="text1"/>
          <w:sz w:val="24"/>
          <w:szCs w:val="24"/>
        </w:rPr>
        <w:t xml:space="preserve">- </w:t>
      </w:r>
      <w:r>
        <w:rPr>
          <w:rFonts w:cs="PT Astra Serif" w:ascii="PT Astra Serif" w:hAnsi="PT Astra Serif"/>
          <w:color w:val="000000" w:themeColor="text1"/>
          <w:sz w:val="24"/>
          <w:szCs w:val="24"/>
        </w:rPr>
        <w:t>договор от 01.01.2023 № 35т-4-1811/23 на сумму 166 499,42 рублей (пункт № 1 плана закупок на 2023 год);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b/>
          <w:bCs/>
          <w:color w:val="000000" w:themeColor="text1"/>
          <w:sz w:val="24"/>
          <w:szCs w:val="24"/>
        </w:rPr>
        <w:t xml:space="preserve">- </w:t>
      </w:r>
      <w:r>
        <w:rPr>
          <w:rFonts w:cs="PT Astra Serif" w:ascii="PT Astra Serif" w:hAnsi="PT Astra Serif"/>
          <w:color w:val="000000" w:themeColor="text1"/>
          <w:sz w:val="24"/>
          <w:szCs w:val="24"/>
        </w:rPr>
        <w:t>договор от 01.01.2023 № 5290008 на сумму 178 000,00 рублей (пункт № 2 плана закупок на 2023 год).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color w:val="000000" w:themeColor="text1"/>
          <w:sz w:val="24"/>
          <w:szCs w:val="24"/>
        </w:rPr>
        <w:t xml:space="preserve"> </w:t>
      </w:r>
    </w:p>
    <w:p>
      <w:pPr>
        <w:pStyle w:val="Normal"/>
        <w:spacing w:before="0" w:after="0"/>
        <w:ind w:firstLine="567"/>
        <w:rPr/>
      </w:pPr>
      <w:r>
        <w:rPr>
          <w:rFonts w:cs="PT Astra Serif" w:ascii="PT Astra Serif" w:hAnsi="PT Astra Serif"/>
          <w:b/>
          <w:color w:val="000000" w:themeColor="text1"/>
          <w:sz w:val="24"/>
          <w:szCs w:val="24"/>
        </w:rPr>
        <w:t>4. Реестр договоров.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В соответствии с частью 2 статьи 4.1 Федерального закона № 223-ФЗ в</w:t>
      </w:r>
      <w:r>
        <w:rPr>
          <w:rFonts w:cs="PT Astra Serif" w:ascii="PT Astra Serif" w:hAnsi="PT Astra Serif"/>
          <w:sz w:val="24"/>
          <w:szCs w:val="24"/>
        </w:rPr>
        <w:t xml:space="preserve"> течение трех рабочих дней со дня заключения договора, в том числе договора, заключенного заказчиком по результатам закупки у единственного поставщика (исполнителя, подрядчика) товаров, работ, услуг, стоимость которых превышает размеры, установленные частью 15 статьи 4 Федерального закона № 223-ФЗ, заказчики вносят информацию и документы, установленные Правительством Российской Федерации, в реестр договоров. Если в договор были внесены изменения, заказчики вносят в реестр договоров такие информацию и документы, в отношении которых были внесены изменения. Информация о результатах исполнения договора вносится заказчиками в реестр договоров в течение десяти дней со дня исполнения, изменения или расторжения договора.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Согласно требованиям части 14 статьи 4 Федерального закона № 223-ФЗ заказчик вправе не размещать в единой информационной системе информацию о закупке товаров, работ, услуг, стоимость которых не превышает сто тысяч рублей.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bCs/>
          <w:sz w:val="24"/>
          <w:szCs w:val="24"/>
        </w:rPr>
        <w:t>Информация о договорах, стоимость которых превышает 100 000,00 рублей: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bCs/>
          <w:color w:val="000000" w:themeColor="text1"/>
          <w:sz w:val="24"/>
          <w:szCs w:val="24"/>
        </w:rPr>
        <w:t>1) </w:t>
      </w:r>
      <w:r>
        <w:rPr>
          <w:rFonts w:cs="PT Astra Serif" w:ascii="PT Astra Serif" w:hAnsi="PT Astra Serif"/>
          <w:color w:val="000000" w:themeColor="text1"/>
          <w:sz w:val="24"/>
          <w:szCs w:val="24"/>
        </w:rPr>
        <w:t>договор от 01.01.2023 № 35т-4-1811/23 на сумму 166 499,42 рублей размещен в ЕИС 09.01.2023;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cs="PT Astra Serif" w:ascii="PT Astra Serif" w:hAnsi="PT Astra Serif"/>
          <w:color w:val="000000" w:themeColor="text1"/>
          <w:sz w:val="24"/>
          <w:szCs w:val="24"/>
        </w:rPr>
        <w:t xml:space="preserve">2) договор от 01.01.2023 № 5290008 на сумму 178 000,00 рублей размещен в ЕИС 10.01.2023, то есть без нарушения установленных сроков. 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cs="PT Astra Serif" w:ascii="PT Astra Serif" w:hAnsi="PT Astra Serif"/>
          <w:color w:val="000000" w:themeColor="text1"/>
          <w:sz w:val="24"/>
          <w:szCs w:val="24"/>
        </w:rPr>
        <w:t xml:space="preserve">В 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открытой части ЕИС отображаются сведения об исполнении договора, но раздел «документы» отсутствует, при этом Учреждение предоставило к проверке скриншот из личного кабинета о размещении документов. Также Учреждение направило запрос в службу технической поддержки с целью выяснения причины неотображения раздела «документы» в открытой части ЕИС.</w:t>
      </w:r>
    </w:p>
    <w:p>
      <w:pPr>
        <w:pStyle w:val="Style28"/>
        <w:ind w:firstLine="567"/>
        <w:rPr>
          <w:rFonts w:ascii="PT Astra Serif" w:hAnsi="PT Astra Serif" w:cs="Times New Roman"/>
          <w:b/>
          <w:b/>
          <w:bCs/>
        </w:rPr>
      </w:pPr>
      <w:r>
        <w:rPr>
          <w:rFonts w:cs="Times New Roman" w:ascii="PT Astra Serif" w:hAnsi="PT Astra Serif"/>
          <w:b/>
          <w:bCs/>
        </w:rPr>
      </w:r>
    </w:p>
    <w:p>
      <w:pPr>
        <w:pStyle w:val="Style28"/>
        <w:ind w:firstLine="567"/>
        <w:rPr/>
      </w:pPr>
      <w:r>
        <w:rPr>
          <w:rStyle w:val="12"/>
          <w:rFonts w:cs="Times New Roman" w:ascii="PT Astra Serif" w:hAnsi="PT Astra Serif"/>
          <w:b/>
          <w:bCs/>
        </w:rPr>
        <w:t>5. Закупки товаров, работ, услуг конкурентными способами.</w:t>
      </w:r>
    </w:p>
    <w:p>
      <w:pPr>
        <w:pStyle w:val="Normal"/>
        <w:ind w:firstLine="567"/>
        <w:jc w:val="both"/>
        <w:rPr/>
      </w:pPr>
      <w:r>
        <w:rPr>
          <w:rStyle w:val="12"/>
          <w:rFonts w:cs="Times New Roman" w:ascii="PT Astra Serif" w:hAnsi="PT Astra Serif"/>
          <w:sz w:val="24"/>
          <w:szCs w:val="24"/>
        </w:rPr>
        <w:t>Закупки путем проведения конкурсов, аукционов и запросов котировок в проверяемом периоде не проводились.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>6.</w:t>
      </w:r>
      <w:r>
        <w:rPr>
          <w:rFonts w:ascii="PT Astra Serif" w:hAnsi="PT Astra Serif"/>
          <w:sz w:val="24"/>
          <w:szCs w:val="24"/>
        </w:rPr>
        <w:t> </w:t>
      </w: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>Размещение информации в ЕИС.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В соответствии с частью 19 статьи 4 Федерального закона № 223-ФЗ заказчик не позднее 10-го числа месяца, следующего за отчетным месяцем, размещает в единой информационной системе: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1) 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закона;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2) сведения о количестве и стоимости договоров, заключенных заказчиком по результатам закупки у единственного поставщика (исполнителя, подрядчика);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3) 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С 01.10.2021 в соответствии с подпунктом а) пункта 45(1) Положения о размещении заказчик не позднее 10-го числа месяца, следующего за отчетным включает в сведения о заключенных договорах предусмотренную Положением о размещении информацию в отношении закупок: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- сведения о которых не подлежат размещению в единой информационной системе в соответствии с частью 15 статьи 4 Федерального закона;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- указанных в пунктах 1 - 3 части 15 статьи 4 Федерального закона, в случае принятия заказчиком решения о не размещении сведений о таких закупках в единой информационной системе;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- у единственного поставщика (исполнителя, подрядчика), если в соответствии с положением о закупке сведения о таких закупках не размещаются заказчиком в единой информационной системе.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Таким образом, начиная с 01.10.2021, в ЕИС должны размещаться единые отчеты.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Сведения о размещении указанной информации в ЕИС представлена в таблице № 3:</w:t>
      </w:r>
    </w:p>
    <w:p>
      <w:pPr>
        <w:pStyle w:val="Normal"/>
        <w:spacing w:lineRule="auto" w:line="240" w:before="0" w:after="0"/>
        <w:ind w:firstLine="567"/>
        <w:jc w:val="right"/>
        <w:rPr/>
      </w:pPr>
      <w:r>
        <w:rPr>
          <w:rFonts w:cs="PT Astra Serif" w:ascii="PT Astra Serif" w:hAnsi="PT Astra Serif"/>
          <w:sz w:val="24"/>
          <w:szCs w:val="24"/>
        </w:rPr>
        <w:t>Таблица № 3</w:t>
      </w:r>
    </w:p>
    <w:tbl>
      <w:tblPr>
        <w:tblStyle w:val="af9"/>
        <w:tblW w:w="1053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358"/>
        <w:gridCol w:w="2703"/>
        <w:gridCol w:w="2537"/>
        <w:gridCol w:w="2935"/>
      </w:tblGrid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Отчетный период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Дата размещения сведений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Дата размещения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сведений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Дата размещения сведений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Январь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08.02.2021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08.02.2021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08.02.2021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Февраль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03.03.2021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03.03.2021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03.03.2021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Март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06.04.2021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06.04.2021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06.04.2021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Апрель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30.04.2021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30.04.2021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30.04.2021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Май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03.06.2021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03.06.2021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03.06.2021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Июнь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05.07.2021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05.07.2021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05.07.2021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Июль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04.08.2021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04.08.2021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04.08.2021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Август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06.09.2021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06.09.2021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06.09.2021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Сентябрь 2021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08.10.2021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Октябрь 2021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02.11.2021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Ноябрь 2021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PT Astra Serif" w:hAnsi="PT Astra Serif"/>
                <w:sz w:val="24"/>
                <w:szCs w:val="24"/>
              </w:rPr>
              <w:t>07.10.2021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Декабрь 2021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10.01.2022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Январь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07.02.2022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Февраль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03.03.2022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Март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07.04.2022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Апрель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04.05.2022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Май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08.06.2022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Июнь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08.07.2022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Июль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03.08.2022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Август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06.09.2022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Сентябрь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04.10.2022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Октябрь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08.11.2022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Ноябрь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02.12.2022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Декабрь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05.01.2023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Январь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06.02.2023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Февраль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07.03.2023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Март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04.04.2023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Апрель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03.05.2023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Май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02.06.2023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Июнь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05.07.2023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Июль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03.08.2023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Август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05.09.2023</w:t>
            </w:r>
          </w:p>
        </w:tc>
      </w:tr>
    </w:tbl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Сведения размещены в ЕИС в установленные сроки.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b/>
          <w:sz w:val="24"/>
          <w:szCs w:val="24"/>
        </w:rPr>
        <w:t>7. Исполнение договоров.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В соответствии с пунктом 199 Положения (в период с 01.01.2021 по 20.12.2021) и пунктом 198 Положения (в период с 21.12.2021 по 31.12.2022) приемка результатов отдельного этапа исполнения договора, а также поставленного товара, выполненной работы, оказанной услуги осуществляется в порядке и сроки, которые установлены договором, и оформляются документом о приемке, который подписывается со стороны заказчика (в случае создания приемочной комиссии подписывается всеми членами приемочной комиссии и утверждается заказчиком) или направляется мотивированный отказ от подписания такого документа в письменной форме.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При проверки выборочным методом соблюдения требований приемки товара Учреждением установлено следующее.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1. Договор от 19.07.2023 № 32 на сумму 65 000,00 рублей.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Согласно пункту 4.2 поставка товара осуществляется в течение 14 рабочих дней с момента заключения договора. Согласно счету-фактуре от 24.07.2023 № 01004 товар принят 01.08.2023.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Согласно пункту 2.3 оплата по договору осуществляется в безналичной форме путем перечисления денежных средств на расчетный счет поставщика в течение 7 рабочих дней после поставки товара и предоставления документов, указанных в пункте 4.8 договора. Согласно платежному поручению № 365198 оплата прошла 02.08.2023. Соответственно условия договора исполнены обеими сторонами.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2. Договор от 25.08.2023 № 43 на сумму 18 237,32 рублей.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Согласно пункту 5.2 договора период поставки товара в течение 10 рабочих дней после заключения договора. Согласно счету-фактуре от 25.08.2023 № ЛС67049 товар получен 25.08.2023.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Согласно пункту 3.1 оплата производится в течение 7 рабочих дней после подписания сторонами товарной накладной в безналичном порядке в форме расчетов платежными поручениями за счет средств от приносящей доход деятельности. Согласно платежному поручению № 412701 оплата произведена 30.08.2023. Соответственно условия договора исполнены обеими сторонами.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3. Договор от 08.02.2023 № 5 на сумму 9 086,24 рублей.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 xml:space="preserve">Согласно пункту 5.2 договора период поставки товара в течение 10 рабочих дней после заключения договора. Согласно счету-фактуре от 10.02.2023 № РПС09131 товар получен 14.02.2023. 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Согласно пункту 3.1 оплата производится в течение 7 рабочих дней после подписания сторонами товарной накладной в безналичном порядке в форме расчетов платежными поручениями за счет средств от приносящей доход деятельности. Согласно платежному поручению № 56674 оплата произведена 16.02.2023. Соответственно условия договора исполнены обеими сторонами.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b/>
          <w:sz w:val="24"/>
          <w:szCs w:val="24"/>
        </w:rPr>
        <w:t>8. Закупки у СМСП.</w:t>
      </w:r>
    </w:p>
    <w:p>
      <w:pPr>
        <w:pStyle w:val="Normal"/>
        <w:spacing w:lineRule="auto" w:line="240" w:before="0" w:after="0"/>
        <w:ind w:firstLine="540"/>
        <w:jc w:val="both"/>
        <w:rPr/>
      </w:pPr>
      <w:r>
        <w:rPr>
          <w:rFonts w:cs="PT Astra Serif" w:ascii="PT Astra Serif" w:hAnsi="PT Astra Serif"/>
          <w:sz w:val="24"/>
          <w:szCs w:val="24"/>
        </w:rPr>
        <w:t>В соответствии с пунктом 5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Российской Федерации от 11.12.2014 № 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 об особенностях закупок у СМСП), годовой объем закупок у субъектов малого и среднего предпринимательства устанавливается в размере не менее чем 25 процентов совокупного годового стоимостного объема договоров, заключенных заказчиками по результатам закупок. При этом совокупный годовой стоимостной объем договоров, заключенных заказчиками с субъектами малого и среднего предпринимательства по результатам закупок, осуществленных в соответствии с подпунктом «б» пункта 4 настоящего Положения, должен составлять не менее чем 20 процентов совокупного годового стоимостного объема договоров, заключенных заказчиками по результатам закупок.</w:t>
      </w:r>
    </w:p>
    <w:p>
      <w:pPr>
        <w:pStyle w:val="Normal"/>
        <w:spacing w:lineRule="auto" w:line="240" w:before="0" w:after="0"/>
        <w:ind w:firstLine="540"/>
        <w:jc w:val="both"/>
        <w:rPr/>
      </w:pPr>
      <w:r>
        <w:rPr>
          <w:rFonts w:cs="PT Astra Serif" w:ascii="PT Astra Serif" w:hAnsi="PT Astra Serif"/>
          <w:sz w:val="24"/>
          <w:szCs w:val="24"/>
        </w:rPr>
        <w:t xml:space="preserve">Все поставщики, с которыми были заключены договоры в 2022, а также до 01.09.2023 году, были проверены на сайте Федеральной налоговой службы в реестре субъектов малого и среднего предпринимательства. </w:t>
      </w:r>
    </w:p>
    <w:p>
      <w:pPr>
        <w:pStyle w:val="Normal"/>
        <w:spacing w:lineRule="auto" w:line="240" w:before="0" w:after="0"/>
        <w:ind w:firstLine="540"/>
        <w:jc w:val="both"/>
        <w:rPr/>
      </w:pPr>
      <w:r>
        <w:rPr>
          <w:rFonts w:cs="PT Astra Serif" w:ascii="PT Astra Serif" w:hAnsi="PT Astra Serif"/>
          <w:sz w:val="24"/>
          <w:szCs w:val="24"/>
        </w:rPr>
        <w:t xml:space="preserve">В соответствии с частью 21 статьи Федерального закона № 223-ФЗ информация о годовом объеме закупки, которую заказчики обязаны осуществить у субъектов малого и среднего предпринимательства, размещается в ЕИС не позднее 1 февраля года, следующего за прошедшим календарным годом. Соответственно Учреждение разместило в ЕИС отчет за 2022 год без нарушения установленных сроков - 27.01.2023. </w:t>
      </w:r>
    </w:p>
    <w:p>
      <w:pPr>
        <w:pStyle w:val="Normal"/>
        <w:spacing w:lineRule="auto" w:line="240" w:before="0" w:after="0"/>
        <w:ind w:firstLine="540"/>
        <w:jc w:val="both"/>
        <w:rPr/>
      </w:pPr>
      <w:r>
        <w:rPr>
          <w:rFonts w:cs="PT Astra Serif" w:ascii="PT Astra Serif" w:hAnsi="PT Astra Serif"/>
          <w:sz w:val="24"/>
          <w:szCs w:val="24"/>
        </w:rPr>
        <w:t xml:space="preserve">По данным Учреждения общий стоимостной объем договоров, заключенных заказчиком по результатам закупок в 2022 году, составляет 1 544,819 тыс. рублей. Общий стоимостной объем договоров, заключенных с субъектами малого и среднего предпринимательства посредством проведения закупки через электронный магазин согласно представленным данным составил 651,61941 тыс. рублей (более 40%). 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В соответствии с пунктом 8 Положения об особенностях закупок у СМСП для осуществления закупок в соответствии с подпунктом «б» пункта 4 настоящего Положения заказчики утверждают перечень товаров, работ, услуг.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В соответствии с пунктом 10 Положения об особенностях закупок у СМСП заказчик размещает перечень в единой информационной системе в сфере закупок товаров, работ, услуг для обеспечения государственных и муниципальных нужд или до ввода в эксплуатацию единой информационной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а также на сайте заказчика в информационно-телекоммуникационной сети «Интернет».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Учреждение разместило перечень в ЕИС: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>1) на период с 01.01.2022 по 31.12.2022 - 26.09.2022;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4"/>
          <w:szCs w:val="24"/>
        </w:rPr>
        <w:t xml:space="preserve">2) на период с 01.01.2023 по 31.12.2025 – 15.12.2022. 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Normal"/>
        <w:spacing w:before="0" w:after="0"/>
        <w:ind w:firstLine="539"/>
        <w:jc w:val="both"/>
        <w:rPr/>
      </w:pP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>По результатам проверки установлены следующие нарушения.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1. В 5 случаях в нарушение требований положения о размещении информации электронный </w:t>
      </w:r>
      <w:r>
        <w:rPr>
          <w:rFonts w:cs="PT Astra Serif" w:ascii="PT Astra Serif" w:hAnsi="PT Astra Serif"/>
          <w:sz w:val="24"/>
          <w:szCs w:val="24"/>
        </w:rPr>
        <w:t>вид документа, содержащий перечень внесенных в Положение изменений, Учреждением в ЕИС не размещен.</w:t>
      </w:r>
    </w:p>
    <w:p>
      <w:pPr>
        <w:pStyle w:val="Normal"/>
        <w:spacing w:before="0" w:after="0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</w:r>
    </w:p>
    <w:p>
      <w:pPr>
        <w:pStyle w:val="Normal"/>
        <w:spacing w:before="0" w:after="0"/>
        <w:ind w:firstLine="705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jc w:val="both"/>
        <w:rPr/>
      </w:pPr>
      <w:r>
        <w:rPr>
          <w:rFonts w:cs="Times New Roman" w:ascii="PT Astra Serif" w:hAnsi="PT Astra Serif"/>
          <w:sz w:val="24"/>
          <w:szCs w:val="24"/>
        </w:rPr>
        <w:t>Акт составлен в 2 (двух) экземплярах</w:t>
      </w:r>
    </w:p>
    <w:p>
      <w:pPr>
        <w:pStyle w:val="Normal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PT Astra Serif" w:hAnsi="PT Astra Serif"/>
          <w:sz w:val="24"/>
          <w:szCs w:val="24"/>
        </w:rPr>
        <w:t xml:space="preserve">Заместитель начальника Департамента,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PT Astra Serif" w:hAnsi="PT Astra Serif"/>
          <w:sz w:val="24"/>
          <w:szCs w:val="24"/>
        </w:rPr>
        <w:t>председатель комитета правового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PT Astra Serif" w:hAnsi="PT Astra Serif"/>
          <w:sz w:val="24"/>
          <w:szCs w:val="24"/>
        </w:rPr>
        <w:t>и информационно-аналитического обеспечения                                                                 Е.В.Гынгазова</w:t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</w:r>
    </w:p>
    <w:p>
      <w:pPr>
        <w:pStyle w:val="Standard"/>
        <w:jc w:val="both"/>
        <w:rPr/>
      </w:pPr>
      <w:r>
        <w:rPr>
          <w:rFonts w:cs="Times New Roman" w:ascii="PT Astra Serif" w:hAnsi="PT Astra Serif"/>
          <w:lang w:eastAsia="en-US"/>
        </w:rPr>
        <w:t>Консультант комитета правового и</w:t>
      </w:r>
    </w:p>
    <w:p>
      <w:pPr>
        <w:pStyle w:val="Standard"/>
        <w:jc w:val="both"/>
        <w:rPr/>
      </w:pPr>
      <w:r>
        <w:rPr>
          <w:rFonts w:cs="Times New Roman" w:ascii="PT Astra Serif" w:hAnsi="PT Astra Serif"/>
          <w:lang w:eastAsia="en-US"/>
        </w:rPr>
        <w:t>информационно-аналитического обеспечения                                                                     А.В.Кривенко</w:t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</w:r>
    </w:p>
    <w:p>
      <w:pPr>
        <w:pStyle w:val="Standard"/>
        <w:jc w:val="both"/>
        <w:rPr/>
      </w:pPr>
      <w:r>
        <w:rPr>
          <w:rFonts w:cs="Times New Roman" w:ascii="PT Astra Serif" w:hAnsi="PT Astra Serif"/>
          <w:lang w:eastAsia="en-US"/>
        </w:rPr>
        <w:t>1 экземпляр акта о проведении</w:t>
      </w:r>
    </w:p>
    <w:p>
      <w:pPr>
        <w:pStyle w:val="Standard"/>
        <w:jc w:val="both"/>
        <w:rPr/>
      </w:pPr>
      <w:r>
        <w:rPr>
          <w:rFonts w:cs="Times New Roman" w:ascii="PT Astra Serif" w:hAnsi="PT Astra Serif"/>
          <w:lang w:eastAsia="en-US"/>
        </w:rPr>
        <w:t>проверки получил начальник ОГАУ «Парабельское райветуправление»</w:t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</w:r>
    </w:p>
    <w:p>
      <w:pPr>
        <w:pStyle w:val="Standard"/>
        <w:jc w:val="both"/>
        <w:rPr/>
      </w:pPr>
      <w:r>
        <w:rPr>
          <w:rStyle w:val="12"/>
          <w:rFonts w:eastAsia="Times New Roman" w:cs="Times New Roman" w:ascii="PT Astra Serif" w:hAnsi="PT Astra Serif"/>
          <w:lang w:eastAsia="en-US"/>
        </w:rPr>
        <w:t xml:space="preserve">                                                                                          </w:t>
      </w:r>
      <w:r>
        <w:rPr>
          <w:rStyle w:val="12"/>
          <w:rFonts w:cs="Times New Roman" w:ascii="PT Astra Serif" w:hAnsi="PT Astra Serif"/>
          <w:lang w:eastAsia="en-US"/>
        </w:rPr>
        <w:t>/________________/_______________________/</w:t>
      </w:r>
    </w:p>
    <w:p>
      <w:pPr>
        <w:pStyle w:val="Standard"/>
        <w:jc w:val="both"/>
        <w:rPr/>
      </w:pPr>
      <w:r>
        <w:rPr>
          <w:rStyle w:val="12"/>
          <w:rFonts w:eastAsia="Times New Roman" w:cs="Times New Roman" w:ascii="PT Astra Serif" w:hAnsi="PT Astra Serif"/>
          <w:lang w:eastAsia="en-US"/>
        </w:rPr>
        <w:t xml:space="preserve">                                                                                                   </w:t>
      </w:r>
      <w:r>
        <w:rPr>
          <w:rStyle w:val="12"/>
          <w:rFonts w:cs="Times New Roman" w:ascii="PT Astra Serif" w:hAnsi="PT Astra Serif"/>
          <w:lang w:eastAsia="en-US"/>
        </w:rPr>
        <w:t>подпись                             Ф.И.О.</w:t>
      </w:r>
    </w:p>
    <w:p>
      <w:pPr>
        <w:pStyle w:val="Standard"/>
        <w:jc w:val="both"/>
        <w:rPr/>
      </w:pPr>
      <w:r>
        <w:rPr>
          <w:rStyle w:val="12"/>
          <w:rFonts w:eastAsia="Times New Roman" w:cs="Times New Roman" w:ascii="PT Astra Serif" w:hAnsi="PT Astra Serif"/>
          <w:lang w:eastAsia="en-US"/>
        </w:rPr>
        <w:t xml:space="preserve">                                                                                                                     </w:t>
      </w:r>
      <w:r>
        <w:rPr>
          <w:rStyle w:val="12"/>
          <w:rFonts w:cs="Times New Roman" w:ascii="PT Astra Serif" w:hAnsi="PT Astra Serif"/>
          <w:lang w:eastAsia="en-US"/>
        </w:rPr>
        <w:t>«___»______________2023 года</w:t>
      </w:r>
    </w:p>
    <w:sectPr>
      <w:type w:val="nextPage"/>
      <w:pgSz w:w="11906" w:h="16838"/>
      <w:pgMar w:left="851" w:right="73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c7541"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5c7541"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5c7541"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next w:val="Normal"/>
    <w:link w:val="30"/>
    <w:uiPriority w:val="9"/>
    <w:unhideWhenUsed/>
    <w:qFormat/>
    <w:rsid w:val="005c7541"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next w:val="Normal"/>
    <w:link w:val="40"/>
    <w:uiPriority w:val="9"/>
    <w:unhideWhenUsed/>
    <w:qFormat/>
    <w:rsid w:val="005c7541"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next w:val="Normal"/>
    <w:link w:val="50"/>
    <w:uiPriority w:val="9"/>
    <w:unhideWhenUsed/>
    <w:qFormat/>
    <w:rsid w:val="005c7541"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next w:val="Normal"/>
    <w:link w:val="60"/>
    <w:uiPriority w:val="9"/>
    <w:unhideWhenUsed/>
    <w:qFormat/>
    <w:rsid w:val="005c7541"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next w:val="Normal"/>
    <w:link w:val="70"/>
    <w:uiPriority w:val="9"/>
    <w:unhideWhenUsed/>
    <w:qFormat/>
    <w:rsid w:val="005c7541"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next w:val="Normal"/>
    <w:link w:val="80"/>
    <w:uiPriority w:val="9"/>
    <w:unhideWhenUsed/>
    <w:qFormat/>
    <w:rsid w:val="005c7541"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next w:val="Normal"/>
    <w:link w:val="90"/>
    <w:uiPriority w:val="9"/>
    <w:unhideWhenUsed/>
    <w:qFormat/>
    <w:rsid w:val="005c7541"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5c7541"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5c7541"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5c7541"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5c7541"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5"/>
    <w:uiPriority w:val="9"/>
    <w:qFormat/>
    <w:rsid w:val="005c7541"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6"/>
    <w:uiPriority w:val="9"/>
    <w:qFormat/>
    <w:rsid w:val="005c7541"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7"/>
    <w:uiPriority w:val="9"/>
    <w:qFormat/>
    <w:rsid w:val="005c7541"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8"/>
    <w:uiPriority w:val="9"/>
    <w:qFormat/>
    <w:rsid w:val="005c7541"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9"/>
    <w:uiPriority w:val="9"/>
    <w:qFormat/>
    <w:rsid w:val="005c7541"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basedOn w:val="DefaultParagraphFont"/>
    <w:link w:val="a4"/>
    <w:uiPriority w:val="10"/>
    <w:qFormat/>
    <w:rsid w:val="005c7541"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a6"/>
    <w:uiPriority w:val="11"/>
    <w:qFormat/>
    <w:rsid w:val="005c7541"/>
    <w:rPr>
      <w:sz w:val="24"/>
      <w:szCs w:val="24"/>
    </w:rPr>
  </w:style>
  <w:style w:type="character" w:styleId="22" w:customStyle="1">
    <w:name w:val="Цитата 2 Знак"/>
    <w:link w:val="21"/>
    <w:uiPriority w:val="29"/>
    <w:qFormat/>
    <w:rsid w:val="005c7541"/>
    <w:rPr>
      <w:i/>
    </w:rPr>
  </w:style>
  <w:style w:type="character" w:styleId="Style7" w:customStyle="1">
    <w:name w:val="Выделенная цитата Знак"/>
    <w:link w:val="a8"/>
    <w:uiPriority w:val="30"/>
    <w:qFormat/>
    <w:rsid w:val="005c7541"/>
    <w:rPr>
      <w:i/>
    </w:rPr>
  </w:style>
  <w:style w:type="character" w:styleId="Style8" w:customStyle="1">
    <w:name w:val="Верхний колонтитул Знак"/>
    <w:basedOn w:val="DefaultParagraphFont"/>
    <w:link w:val="aa"/>
    <w:uiPriority w:val="99"/>
    <w:qFormat/>
    <w:rsid w:val="005c7541"/>
    <w:rPr/>
  </w:style>
  <w:style w:type="character" w:styleId="FooterChar" w:customStyle="1">
    <w:name w:val="Footer Char"/>
    <w:basedOn w:val="DefaultParagraphFont"/>
    <w:uiPriority w:val="99"/>
    <w:qFormat/>
    <w:rsid w:val="005c7541"/>
    <w:rPr/>
  </w:style>
  <w:style w:type="character" w:styleId="Style9" w:customStyle="1">
    <w:name w:val="Нижний колонтитул Знак"/>
    <w:link w:val="ac"/>
    <w:uiPriority w:val="99"/>
    <w:qFormat/>
    <w:rsid w:val="005c7541"/>
    <w:rPr/>
  </w:style>
  <w:style w:type="character" w:styleId="Style10" w:customStyle="1">
    <w:name w:val="Текст сноски Знак"/>
    <w:link w:val="af"/>
    <w:uiPriority w:val="99"/>
    <w:qFormat/>
    <w:rsid w:val="005c7541"/>
    <w:rPr>
      <w:sz w:val="18"/>
    </w:rPr>
  </w:style>
  <w:style w:type="character" w:styleId="Style1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sid w:val="005c7541"/>
    <w:rPr>
      <w:vertAlign w:val="superscript"/>
    </w:rPr>
  </w:style>
  <w:style w:type="character" w:styleId="Style12" w:customStyle="1">
    <w:name w:val="Текст концевой сноски Знак"/>
    <w:link w:val="af2"/>
    <w:uiPriority w:val="99"/>
    <w:qFormat/>
    <w:rsid w:val="005c7541"/>
    <w:rPr>
      <w:sz w:val="20"/>
    </w:rPr>
  </w:style>
  <w:style w:type="character" w:styleId="Style13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5c7541"/>
    <w:rPr>
      <w:vertAlign w:val="superscript"/>
    </w:rPr>
  </w:style>
  <w:style w:type="character" w:styleId="12" w:customStyle="1">
    <w:name w:val="Основной шрифт абзаца1"/>
    <w:qFormat/>
    <w:rsid w:val="005c7541"/>
    <w:rPr/>
  </w:style>
  <w:style w:type="character" w:styleId="Style14">
    <w:name w:val="Интернет-ссылка"/>
    <w:basedOn w:val="DefaultParagraphFont"/>
    <w:uiPriority w:val="99"/>
    <w:unhideWhenUsed/>
    <w:rsid w:val="005c7541"/>
    <w:rPr>
      <w:color w:val="0563C1" w:themeColor="hyperlink"/>
      <w:u w:val="single"/>
    </w:rPr>
  </w:style>
  <w:style w:type="character" w:styleId="Style15" w:customStyle="1">
    <w:name w:val="Текст выноски Знак"/>
    <w:basedOn w:val="DefaultParagraphFont"/>
    <w:link w:val="afb"/>
    <w:uiPriority w:val="99"/>
    <w:semiHidden/>
    <w:qFormat/>
    <w:rsid w:val="005c7541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PT Astra Serif" w:hAnsi="PT Astra Serif"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uiPriority w:val="1"/>
    <w:qFormat/>
    <w:rsid w:val="005c7541"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1">
    <w:name w:val="Title"/>
    <w:basedOn w:val="Normal"/>
    <w:next w:val="Normal"/>
    <w:link w:val="a5"/>
    <w:uiPriority w:val="10"/>
    <w:qFormat/>
    <w:rsid w:val="005c7541"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next w:val="Normal"/>
    <w:link w:val="a7"/>
    <w:uiPriority w:val="11"/>
    <w:qFormat/>
    <w:rsid w:val="005c7541"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22"/>
    <w:uiPriority w:val="29"/>
    <w:qFormat/>
    <w:rsid w:val="005c7541"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a9"/>
    <w:uiPriority w:val="30"/>
    <w:qFormat/>
    <w:rsid w:val="005c754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b"/>
    <w:uiPriority w:val="99"/>
    <w:unhideWhenUsed/>
    <w:rsid w:val="005c7541"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ad"/>
    <w:uiPriority w:val="99"/>
    <w:unhideWhenUsed/>
    <w:rsid w:val="005c7541"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5c7541"/>
    <w:pPr>
      <w:spacing w:lineRule="auto" w:line="276"/>
    </w:pPr>
    <w:rPr>
      <w:b/>
      <w:bCs/>
      <w:color w:val="5B9BD5" w:themeColor="accent1"/>
      <w:sz w:val="18"/>
      <w:szCs w:val="18"/>
    </w:rPr>
  </w:style>
  <w:style w:type="paragraph" w:styleId="Style26">
    <w:name w:val="Footnote Text"/>
    <w:basedOn w:val="Normal"/>
    <w:link w:val="af0"/>
    <w:uiPriority w:val="99"/>
    <w:semiHidden/>
    <w:unhideWhenUsed/>
    <w:rsid w:val="005c7541"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link w:val="af3"/>
    <w:uiPriority w:val="99"/>
    <w:semiHidden/>
    <w:unhideWhenUsed/>
    <w:rsid w:val="005c7541"/>
    <w:pPr>
      <w:spacing w:lineRule="auto" w:line="240" w:before="0" w:after="0"/>
    </w:pPr>
    <w:rPr>
      <w:sz w:val="20"/>
    </w:rPr>
  </w:style>
  <w:style w:type="paragraph" w:styleId="13">
    <w:name w:val="TOC 1"/>
    <w:basedOn w:val="Normal"/>
    <w:next w:val="Normal"/>
    <w:uiPriority w:val="39"/>
    <w:unhideWhenUsed/>
    <w:rsid w:val="005c7541"/>
    <w:pPr>
      <w:spacing w:before="0" w:after="57"/>
    </w:pPr>
    <w:rPr/>
  </w:style>
  <w:style w:type="paragraph" w:styleId="23">
    <w:name w:val="TOC 2"/>
    <w:basedOn w:val="Normal"/>
    <w:next w:val="Normal"/>
    <w:uiPriority w:val="39"/>
    <w:unhideWhenUsed/>
    <w:rsid w:val="005c7541"/>
    <w:pPr>
      <w:spacing w:before="0" w:after="57"/>
      <w:ind w:left="283" w:hanging="0"/>
    </w:pPr>
    <w:rPr/>
  </w:style>
  <w:style w:type="paragraph" w:styleId="32">
    <w:name w:val="TOC 3"/>
    <w:basedOn w:val="Normal"/>
    <w:next w:val="Normal"/>
    <w:uiPriority w:val="39"/>
    <w:unhideWhenUsed/>
    <w:rsid w:val="005c7541"/>
    <w:pPr>
      <w:spacing w:before="0" w:after="57"/>
      <w:ind w:left="567" w:hanging="0"/>
    </w:pPr>
    <w:rPr/>
  </w:style>
  <w:style w:type="paragraph" w:styleId="42">
    <w:name w:val="TOC 4"/>
    <w:basedOn w:val="Normal"/>
    <w:next w:val="Normal"/>
    <w:uiPriority w:val="39"/>
    <w:unhideWhenUsed/>
    <w:rsid w:val="005c7541"/>
    <w:pPr>
      <w:spacing w:before="0" w:after="57"/>
      <w:ind w:left="850" w:hanging="0"/>
    </w:pPr>
    <w:rPr/>
  </w:style>
  <w:style w:type="paragraph" w:styleId="52">
    <w:name w:val="TOC 5"/>
    <w:basedOn w:val="Normal"/>
    <w:next w:val="Normal"/>
    <w:uiPriority w:val="39"/>
    <w:unhideWhenUsed/>
    <w:rsid w:val="005c7541"/>
    <w:pPr>
      <w:spacing w:before="0" w:after="57"/>
      <w:ind w:left="1134" w:hanging="0"/>
    </w:pPr>
    <w:rPr/>
  </w:style>
  <w:style w:type="paragraph" w:styleId="62">
    <w:name w:val="TOC 6"/>
    <w:basedOn w:val="Normal"/>
    <w:next w:val="Normal"/>
    <w:uiPriority w:val="39"/>
    <w:unhideWhenUsed/>
    <w:rsid w:val="005c7541"/>
    <w:pPr>
      <w:spacing w:before="0" w:after="57"/>
      <w:ind w:left="1417" w:hanging="0"/>
    </w:pPr>
    <w:rPr/>
  </w:style>
  <w:style w:type="paragraph" w:styleId="72">
    <w:name w:val="TOC 7"/>
    <w:basedOn w:val="Normal"/>
    <w:next w:val="Normal"/>
    <w:uiPriority w:val="39"/>
    <w:unhideWhenUsed/>
    <w:rsid w:val="005c7541"/>
    <w:pPr>
      <w:spacing w:before="0" w:after="57"/>
      <w:ind w:left="1701" w:hanging="0"/>
    </w:pPr>
    <w:rPr/>
  </w:style>
  <w:style w:type="paragraph" w:styleId="82">
    <w:name w:val="TOC 8"/>
    <w:basedOn w:val="Normal"/>
    <w:next w:val="Normal"/>
    <w:uiPriority w:val="39"/>
    <w:unhideWhenUsed/>
    <w:rsid w:val="005c7541"/>
    <w:pPr>
      <w:spacing w:before="0" w:after="57"/>
      <w:ind w:left="1984" w:hanging="0"/>
    </w:pPr>
    <w:rPr/>
  </w:style>
  <w:style w:type="paragraph" w:styleId="92">
    <w:name w:val="TOC 9"/>
    <w:basedOn w:val="Normal"/>
    <w:next w:val="Normal"/>
    <w:uiPriority w:val="39"/>
    <w:unhideWhenUsed/>
    <w:rsid w:val="005c7541"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rsid w:val="005c7541"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rsid w:val="005c7541"/>
    <w:pPr>
      <w:spacing w:before="0" w:after="0"/>
    </w:pPr>
    <w:rPr/>
  </w:style>
  <w:style w:type="paragraph" w:styleId="Textbody" w:customStyle="1">
    <w:name w:val="Text body"/>
    <w:basedOn w:val="Normal"/>
    <w:qFormat/>
    <w:rsid w:val="005c7541"/>
    <w:pPr>
      <w:widowControl w:val="false"/>
      <w:spacing w:lineRule="auto" w:line="240" w:before="0" w:after="0"/>
      <w:jc w:val="both"/>
    </w:pPr>
    <w:rPr>
      <w:rFonts w:ascii="Times New Roman" w:hAnsi="Times New Roman" w:eastAsia="Lucida Sans Unicode" w:cs="Mangal"/>
      <w:sz w:val="21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5c7541"/>
    <w:pPr>
      <w:spacing w:before="0" w:after="160"/>
      <w:ind w:left="720" w:hanging="0"/>
      <w:contextualSpacing/>
    </w:pPr>
    <w:rPr/>
  </w:style>
  <w:style w:type="paragraph" w:styleId="Standard" w:customStyle="1">
    <w:name w:val="Standard"/>
    <w:qFormat/>
    <w:rsid w:val="005c7541"/>
    <w:pPr>
      <w:widowControl w:val="false"/>
      <w:pBdr/>
      <w:bidi w:val="0"/>
      <w:spacing w:lineRule="auto" w:line="240" w:before="0" w:after="0"/>
      <w:jc w:val="left"/>
    </w:pPr>
    <w:rPr>
      <w:rFonts w:ascii="Times New Roman" w:hAnsi="Times New Roman" w:eastAsia="DejaVu Sans" w:cs="Lohit Devanagari"/>
      <w:color w:val="auto"/>
      <w:kern w:val="0"/>
      <w:sz w:val="24"/>
      <w:szCs w:val="24"/>
      <w:lang w:eastAsia="zh-CN" w:bidi="hi-IN" w:val="ru-RU"/>
    </w:rPr>
  </w:style>
  <w:style w:type="paragraph" w:styleId="Style28" w:customStyle="1">
    <w:name w:val="Содержимое таблицы"/>
    <w:basedOn w:val="Normal"/>
    <w:qFormat/>
    <w:rsid w:val="005c7541"/>
    <w:pPr>
      <w:widowControl w:val="false"/>
      <w:suppressLineNumbers/>
      <w:pBdr/>
      <w:spacing w:lineRule="auto" w:line="240" w:before="0" w:after="0"/>
    </w:pPr>
    <w:rPr>
      <w:rFonts w:ascii="Times New Roman" w:hAnsi="Times New Roman" w:eastAsia="DejaVu Sans" w:cs="Lohit Devanagari"/>
      <w:sz w:val="24"/>
      <w:szCs w:val="24"/>
      <w:lang w:eastAsia="zh-CN" w:bidi="hi-IN"/>
    </w:rPr>
  </w:style>
  <w:style w:type="paragraph" w:styleId="BalloonText">
    <w:name w:val="Balloon Text"/>
    <w:basedOn w:val="Normal"/>
    <w:link w:val="afc"/>
    <w:uiPriority w:val="99"/>
    <w:semiHidden/>
    <w:unhideWhenUsed/>
    <w:qFormat/>
    <w:rsid w:val="005c754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5c7541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customStyle="1" w:styleId="11">
    <w:name w:val="Таблица простая 11"/>
    <w:basedOn w:val="a1"/>
    <w:uiPriority w:val="59"/>
    <w:rsid w:val="005c7541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customStyle="1" w:styleId="210">
    <w:name w:val="Таблица простая 21"/>
    <w:basedOn w:val="a1"/>
    <w:uiPriority w:val="59"/>
    <w:rsid w:val="005c7541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31">
    <w:name w:val="Таблица простая 3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41">
    <w:name w:val="Таблица простая 4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51">
    <w:name w:val="Таблица простая 5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-11">
    <w:name w:val="Таблица-сетка 1 светлая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EC4E6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4B28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ACACA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FDA6A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1ACDC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AAD190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  <w:style w:type="table" w:customStyle="1" w:styleId="-21">
    <w:name w:val="Таблица-сетка 2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8A2D8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8A2D8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5c7541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5c7541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68A2D8" w:themeColor="accent1" w:sz="4" w:space="0"/>
          <w:left w:val="single" w:color="68A2D8" w:themeColor="accent1" w:sz="4" w:space="0"/>
          <w:bottom w:val="single" w:color="68A2D8" w:themeColor="accent1" w:sz="4" w:space="0"/>
          <w:right w:val="single" w:color="68A2D8" w:themeColor="accent1" w:sz="4" w:space="0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68A2D8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4B184" w:themeColor="accent2" w:sz="4" w:space="0"/>
          <w:left w:val="single" w:color="F4B184" w:themeColor="accent2" w:sz="4" w:space="0"/>
          <w:bottom w:val="single" w:color="F4B184" w:themeColor="accent2" w:sz="4" w:space="0"/>
          <w:right w:val="single" w:color="F4B184" w:themeColor="accent2" w:sz="4" w:space="0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5c7541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FD865" w:themeColor="accent4" w:sz="4" w:space="0"/>
          <w:left w:val="single" w:color="FFD865" w:themeColor="accent4" w:sz="4" w:space="0"/>
          <w:bottom w:val="single" w:color="FFD865" w:themeColor="accent4" w:sz="4" w:space="0"/>
          <w:right w:val="single" w:color="FFD865" w:themeColor="accent4" w:sz="4" w:space="0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5c7541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color="4472C4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5c7541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5B9BD5" w:fill="5B9BD5" w:themeFill="accent1"/>
      </w:tcPr>
    </w:tblStylePr>
    <w:tblStylePr w:type="firstCol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ED7D31" w:fill="ED7D31" w:themeFill="accent2"/>
      </w:tcPr>
    </w:tblStylePr>
    <w:tblStylePr w:type="firstCol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A5A5A5" w:fill="A5A5A5" w:themeFill="accent3"/>
      </w:tcPr>
    </w:tblStylePr>
    <w:tblStylePr w:type="firstCol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C000" w:fill="FFC000" w:themeFill="accent4"/>
      </w:tcPr>
    </w:tblStylePr>
    <w:tblStylePr w:type="firstCol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472C4" w:fill="4472C4" w:themeFill="accent5"/>
      </w:tcPr>
    </w:tblStylePr>
    <w:tblStylePr w:type="firstCol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70AD47" w:fill="70AD47" w:themeFill="accent6"/>
      </w:tcPr>
    </w:tblStylePr>
    <w:tblStylePr w:type="firstCol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color="ACCCEA" w:themeColor="accent1" w:sz="12" w:space="0"/>
        </w:tcBorders>
      </w:tcPr>
    </w:tblStylePr>
    <w:tblStylePr w:type="lastRow">
      <w:rPr>
        <w:b/>
        <w:color w:val="ACCCEA" w:themeColor="accent1" w:themeTint="80" w:themeShade="95"/>
      </w:rPr>
      <w:tblPr/>
    </w:tblStylePr>
    <w:tblStylePr w:type="firstCol">
      <w:rPr>
        <w:b/>
        <w:color w:val="ACCCEA" w:themeColor="accent1" w:themeTint="80" w:themeShade="95"/>
      </w:rPr>
      <w:tblPr/>
    </w:tblStylePr>
    <w:tblStylePr w:type="lastCol">
      <w:rPr>
        <w:b/>
        <w:color w:val="ACCCEA" w:themeColor="accent1" w:themeTint="80" w:themeShade="95"/>
      </w:rPr>
      <w:tblPr/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b/>
        <w:color w:val="F4B184" w:themeColor="accent2" w:themeTint="97" w:themeShade="95"/>
      </w:rPr>
      <w:tblPr/>
    </w:tblStylePr>
    <w:tblStylePr w:type="firstCol">
      <w:rPr>
        <w:b/>
        <w:color w:val="F4B184" w:themeColor="accent2" w:themeTint="97" w:themeShade="95"/>
      </w:rPr>
      <w:tblPr/>
    </w:tblStylePr>
    <w:tblStylePr w:type="lastCol">
      <w:rPr>
        <w:b/>
        <w:color w:val="F4B184" w:themeColor="accent2" w:themeTint="97" w:themeShade="95"/>
      </w:rPr>
      <w:tblPr/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color="A5A5A5" w:themeColor="accent3" w:sz="12" w:space="0"/>
        </w:tcBorders>
      </w:tcPr>
    </w:tblStylePr>
    <w:tblStylePr w:type="lastRow">
      <w:rPr>
        <w:b/>
        <w:color w:val="A5A5A5" w:themeColor="accent3" w:themeTint="fe" w:themeShade="95"/>
      </w:rPr>
      <w:tblPr/>
    </w:tblStylePr>
    <w:tblStylePr w:type="firstCol">
      <w:rPr>
        <w:b/>
        <w:color w:val="A5A5A5" w:themeColor="accent3" w:themeTint="fe" w:themeShade="95"/>
      </w:rPr>
      <w:tblPr/>
    </w:tblStylePr>
    <w:tblStylePr w:type="lastCol">
      <w:rPr>
        <w:b/>
        <w:color w:val="A5A5A5" w:themeColor="accent3" w:themeTint="fe" w:themeShade="95"/>
      </w:rPr>
      <w:tblPr/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b/>
        <w:color w:val="FFD865" w:themeColor="accent4" w:themeTint="9a" w:themeShade="95"/>
      </w:rPr>
      <w:tblPr/>
    </w:tblStylePr>
    <w:tblStylePr w:type="firstCol">
      <w:rPr>
        <w:b/>
        <w:color w:val="FFD865" w:themeColor="accent4" w:themeTint="9a" w:themeShade="95"/>
      </w:rPr>
      <w:tblPr/>
    </w:tblStylePr>
    <w:tblStylePr w:type="lastCol">
      <w:rPr>
        <w:b/>
        <w:color w:val="FFD865" w:themeColor="accent4" w:themeTint="9a" w:themeShade="95"/>
      </w:rPr>
      <w:tblPr/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color="4472C4" w:themeColor="accent5" w:sz="12" w:space="0"/>
        </w:tcBorders>
      </w:tcPr>
    </w:tblStylePr>
    <w:tblStylePr w:type="lastRow">
      <w:rPr>
        <w:b/>
        <w:color w:val="254175" w:themeColor="accent5" w:themeShade="95"/>
      </w:rPr>
      <w:tblPr/>
    </w:tblStylePr>
    <w:tblStylePr w:type="firstCol">
      <w:rPr>
        <w:b/>
        <w:color w:val="254175" w:themeColor="accent5" w:themeShade="95"/>
      </w:rPr>
      <w:tblPr/>
    </w:tblStylePr>
    <w:tblStylePr w:type="lastCol">
      <w:rPr>
        <w:b/>
        <w:color w:val="254175" w:themeColor="accent5" w:themeShade="95"/>
      </w:rPr>
      <w:tblPr/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val="254175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54175" w:themeColor="accent5" w:themeShade="95"/>
      </w:rPr>
      <w:tblPr/>
    </w:tblStylePr>
    <w:tblStylePr w:type="firstCol">
      <w:rPr>
        <w:b/>
        <w:color w:val="254175" w:themeColor="accent5" w:themeShade="95"/>
      </w:rPr>
      <w:tblPr/>
    </w:tblStylePr>
    <w:tblStylePr w:type="lastCol">
      <w:rPr>
        <w:b/>
        <w:color w:val="254175" w:themeColor="accent5" w:themeShade="95"/>
      </w:rPr>
      <w:tblPr/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254175" w:themeColor="accent5" w:themeShade="95"/>
        <w:sz w:val="22"/>
      </w:rPr>
      <w:tblPr/>
    </w:tblStylePr>
  </w:style>
  <w:style w:type="table" w:customStyle="1" w:styleId="-71">
    <w:name w:val="Таблица-сетка 7 цветная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CCCEA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color="ACCCEA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CCCEA" w:themeColor="accent1" w:sz="4" w:space="0"/>
        </w:tcBorders>
        <w:shd w:val="clear" w:color="FFFFFF" w:fill="auto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color="auto" w:sz="0" w:space="0"/>
          <w:left w:val="single" w:color="ACCCEA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4B184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single" w:color="F4B184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5A5A5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color="A5A5A5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5A5A5" w:themeColor="accent3" w:sz="4" w:space="0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color="auto" w:sz="0" w:space="0"/>
          <w:left w:val="single" w:color="A5A5A5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FD865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single" w:color="FFD865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5AFDD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color="95AFDD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5AFDD" w:themeColor="accent5" w:sz="4" w:space="0"/>
        </w:tcBorders>
        <w:shd w:val="clear" w:color="FFFFFF" w:fill="auto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color="auto" w:sz="0" w:space="0"/>
          <w:left w:val="single" w:color="95AFDD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val="254175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DD394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color="ADD394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DD394" w:themeColor="accent6" w:sz="4" w:space="0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color="auto" w:sz="0" w:space="0"/>
          <w:left w:val="single" w:color="ADD394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416429" w:themeColor="accent6" w:themeShade="95"/>
        <w:sz w:val="22"/>
      </w:rPr>
      <w:tblPr/>
    </w:tblStylePr>
  </w:style>
  <w:style w:type="table" w:customStyle="1" w:styleId="-110">
    <w:name w:val="Список-таблица 1 светлая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firstRow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firstRow">
      <w:rPr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4B184" w:themeColor="accent2" w:sz="4" w:space="0"/>
          <w:right w:val="single" w:color="F4B184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4B184" w:themeColor="accent2" w:sz="4" w:space="0"/>
          <w:bottom w:val="single" w:color="F4B184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9C9C9" w:themeColor="accent3" w:sz="4" w:space="0"/>
          <w:right w:val="single" w:color="C9C9C9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9C9C9" w:themeColor="accent3" w:sz="4" w:space="0"/>
          <w:bottom w:val="single" w:color="C9C9C9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FD865" w:themeColor="accent4" w:sz="4" w:space="0"/>
          <w:right w:val="single" w:color="FFD865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FD865" w:themeColor="accent4" w:sz="4" w:space="0"/>
          <w:bottom w:val="single" w:color="FFD865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8DA9DB" w:themeColor="accent5" w:sz="4" w:space="0"/>
          <w:right w:val="single" w:color="8DA9DB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8DA9DB" w:themeColor="accent5" w:sz="4" w:space="0"/>
          <w:bottom w:val="single" w:color="8DA9DB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A9D08E" w:themeColor="accent6" w:sz="4" w:space="0"/>
          <w:right w:val="single" w:color="A9D08E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A9D08E" w:themeColor="accent6" w:sz="4" w:space="0"/>
          <w:bottom w:val="single" w:color="A9D08E" w:themeColor="accent6" w:sz="4" w:space="0"/>
        </w:tcBorders>
      </w:tcPr>
    </w:tblStylePr>
  </w:style>
  <w:style w:type="table" w:customStyle="1" w:styleId="-410">
    <w:name w:val="Список-таблица 4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fill="5B9BD5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fill="5B9BD5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5B9BD5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4B184" w:themeColor="accent2" w:sz="32" w:space="0"/>
          <w:bottom w:val="single" w:color="FFFFFF" w:themeColor="light1" w:sz="12" w:space="0"/>
        </w:tcBorders>
        <w:shd w:val="clear" w:color="F4B184" w:fill="F4B184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4B184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4B184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C9C9C9" w:themeColor="accent3" w:sz="32" w:space="0"/>
          <w:bottom w:val="single" w:color="FFFFFF" w:themeColor="light1" w:sz="12" w:space="0"/>
        </w:tcBorders>
        <w:shd w:val="clear" w:color="C9C9C9" w:fill="C9C9C9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9C9C9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9C9C9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FD865" w:themeColor="accent4" w:sz="32" w:space="0"/>
          <w:bottom w:val="single" w:color="FFFFFF" w:themeColor="light1" w:sz="12" w:space="0"/>
        </w:tcBorders>
        <w:shd w:val="clear" w:color="FFD865" w:fill="FFD865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FD865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FD865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8DA9DB" w:themeColor="accent5" w:sz="32" w:space="0"/>
          <w:bottom w:val="single" w:color="FFFFFF" w:themeColor="light1" w:sz="12" w:space="0"/>
        </w:tcBorders>
        <w:shd w:val="clear" w:color="8DA9DB" w:fill="8DA9DB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8DA9DB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8DA9DB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A9D08E" w:themeColor="accent6" w:sz="32" w:space="0"/>
          <w:bottom w:val="single" w:color="FFFFFF" w:themeColor="light1" w:sz="12" w:space="0"/>
        </w:tcBorders>
        <w:shd w:val="clear" w:color="A9D08E" w:fill="A9D08E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A9D08E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A9D08E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color="5B9BD5" w:themeColor="accent1" w:sz="4" w:space="0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color="5B9BD5" w:themeColor="accent1" w:sz="4" w:space="0"/>
        </w:tcBorders>
      </w:tcPr>
    </w:tblStylePr>
    <w:tblStylePr w:type="firstCol">
      <w:rPr>
        <w:b/>
        <w:color w:val="245A8D" w:themeColor="accent1" w:themeShade="95"/>
      </w:rPr>
      <w:tblPr/>
    </w:tblStylePr>
    <w:tblStylePr w:type="lastCol">
      <w:rPr>
        <w:b/>
        <w:color w:val="245A8D" w:themeColor="accent1" w:themeShade="95"/>
      </w:rPr>
      <w:tblPr/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val="245A8D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color="F4B184" w:themeColor="accent2" w:sz="4" w:space="0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  <w:color w:val="F4B184" w:themeColor="accent2" w:themeTint="97" w:themeShade="95"/>
      </w:rPr>
      <w:tblPr/>
    </w:tblStylePr>
    <w:tblStylePr w:type="lastCol">
      <w:rPr>
        <w:b/>
        <w:color w:val="F4B184" w:themeColor="accent2" w:themeTint="97" w:themeShade="95"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color="C9C9C9" w:themeColor="accent3" w:sz="4" w:space="0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color="C9C9C9" w:themeColor="accent3" w:sz="4" w:space="0"/>
        </w:tcBorders>
      </w:tcPr>
    </w:tblStylePr>
    <w:tblStylePr w:type="firstCol">
      <w:rPr>
        <w:b/>
        <w:color w:val="C9C9C9" w:themeColor="accent3" w:themeTint="98" w:themeShade="95"/>
      </w:rPr>
      <w:tblPr/>
    </w:tblStylePr>
    <w:tblStylePr w:type="lastCol">
      <w:rPr>
        <w:b/>
        <w:color w:val="C9C9C9" w:themeColor="accent3" w:themeTint="98" w:themeShade="95"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color="FFD865" w:themeColor="accent4" w:sz="4" w:space="0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  <w:color w:val="FFD865" w:themeColor="accent4" w:themeTint="9a" w:themeShade="95"/>
      </w:rPr>
      <w:tblPr/>
    </w:tblStylePr>
    <w:tblStylePr w:type="lastCol">
      <w:rPr>
        <w:b/>
        <w:color w:val="FFD865" w:themeColor="accent4" w:themeTint="9a" w:themeShade="95"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color="8DA9DB" w:themeColor="accent5" w:sz="4" w:space="0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color="8DA9DB" w:themeColor="accent5" w:sz="4" w:space="0"/>
        </w:tcBorders>
      </w:tcPr>
    </w:tblStylePr>
    <w:tblStylePr w:type="firstCol">
      <w:rPr>
        <w:b/>
        <w:color w:val="8DA9DB" w:themeColor="accent5" w:themeTint="9a" w:themeShade="95"/>
      </w:rPr>
      <w:tblPr/>
    </w:tblStylePr>
    <w:tblStylePr w:type="lastCol">
      <w:rPr>
        <w:b/>
        <w:color w:val="8DA9DB" w:themeColor="accent5" w:themeTint="9a" w:themeShade="95"/>
      </w:rPr>
      <w:tblPr/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color="A9D08E" w:themeColor="accent6" w:sz="4" w:space="0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color="A9D08E" w:themeColor="accent6" w:sz="4" w:space="0"/>
        </w:tcBorders>
      </w:tcPr>
    </w:tblStylePr>
    <w:tblStylePr w:type="firstCol">
      <w:rPr>
        <w:b/>
        <w:color w:val="A9D08E" w:themeColor="accent6" w:themeTint="98" w:themeShade="95"/>
      </w:rPr>
      <w:tblPr/>
    </w:tblStylePr>
    <w:tblStylePr w:type="lastCol">
      <w:rPr>
        <w:b/>
        <w:color w:val="A9D08E" w:themeColor="accent6" w:themeTint="98" w:themeShade="95"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  <w:tblPr/>
    </w:tblStylePr>
  </w:style>
  <w:style w:type="table" w:customStyle="1" w:styleId="-710">
    <w:name w:val="Список-таблица 7 цветная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5B9BD5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color="5B9BD5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5B9BD5" w:themeColor="accent1" w:sz="4" w:space="0"/>
        </w:tcBorders>
        <w:shd w:val="clear" w:color="FFFFFF" w:fill="auto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color="auto" w:sz="0" w:space="0"/>
          <w:left w:val="single" w:color="5B9BD5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val="245A8D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4B184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single" w:color="F4B184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9C9C9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color="C9C9C9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9C9C9" w:themeColor="accent3" w:sz="4" w:space="0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color="auto" w:sz="0" w:space="0"/>
          <w:left w:val="single" w:color="C9C9C9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FD865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single" w:color="FFD865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8DA9DB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color="8DA9DB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8DA9DB" w:themeColor="accent5" w:sz="4" w:space="0"/>
        </w:tcBorders>
        <w:shd w:val="clear" w:color="FFFFFF" w:fill="auto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color="auto" w:sz="0" w:space="0"/>
          <w:left w:val="single" w:color="8DA9DB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9D08E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color="A9D08E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9D08E" w:themeColor="accent6" w:sz="4" w:space="0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color="auto" w:sz="0" w:space="0"/>
          <w:left w:val="single" w:color="A9D08E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rsid w:val="005c7541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5c7541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5c7541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5c7541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5c7541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5c7541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5c7541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5c7541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5c7541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245A8D" w:themeColor="accent1" w:sz="4" w:space="0"/>
        <w:left w:val="single" w:color="245A8D" w:themeColor="accent1" w:sz="4" w:space="0"/>
        <w:bottom w:val="single" w:color="245A8D" w:themeColor="accent1" w:sz="4" w:space="0"/>
        <w:right w:val="single" w:color="245A8D" w:themeColor="accent1" w:sz="4" w:space="0"/>
        <w:insideH w:val="single" w:color="245A8D" w:themeColor="accent1" w:sz="4" w:space="0"/>
        <w:insideV w:val="single" w:color="245A8D" w:themeColor="accent1" w:sz="4" w:space="0"/>
      </w:tblBorders>
    </w:tblPr>
    <w:tblStylePr w:type="fir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5c7541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99460D" w:themeColor="accent2" w:sz="4" w:space="0"/>
        <w:left w:val="single" w:color="99460D" w:themeColor="accent2" w:sz="4" w:space="0"/>
        <w:bottom w:val="single" w:color="99460D" w:themeColor="accent2" w:sz="4" w:space="0"/>
        <w:right w:val="single" w:color="99460D" w:themeColor="accent2" w:sz="4" w:space="0"/>
        <w:insideH w:val="single" w:color="99460D" w:themeColor="accent2" w:sz="4" w:space="0"/>
        <w:insideV w:val="single" w:color="99460D" w:themeColor="accent2" w:sz="4" w:space="0"/>
      </w:tblBorders>
    </w:tblPr>
    <w:tblStylePr w:type="fir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5c7541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606060" w:themeColor="accent3" w:sz="4" w:space="0"/>
        <w:left w:val="single" w:color="606060" w:themeColor="accent3" w:sz="4" w:space="0"/>
        <w:bottom w:val="single" w:color="606060" w:themeColor="accent3" w:sz="4" w:space="0"/>
        <w:right w:val="single" w:color="606060" w:themeColor="accent3" w:sz="4" w:space="0"/>
        <w:insideH w:val="single" w:color="606060" w:themeColor="accent3" w:sz="4" w:space="0"/>
        <w:insideV w:val="single" w:color="606060" w:themeColor="accent3" w:sz="4" w:space="0"/>
      </w:tblBorders>
    </w:tblPr>
    <w:tblStylePr w:type="fir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5c7541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957000" w:themeColor="accent4" w:sz="4" w:space="0"/>
        <w:left w:val="single" w:color="957000" w:themeColor="accent4" w:sz="4" w:space="0"/>
        <w:bottom w:val="single" w:color="957000" w:themeColor="accent4" w:sz="4" w:space="0"/>
        <w:right w:val="single" w:color="957000" w:themeColor="accent4" w:sz="4" w:space="0"/>
        <w:insideH w:val="single" w:color="957000" w:themeColor="accent4" w:sz="4" w:space="0"/>
        <w:insideV w:val="single" w:color="957000" w:themeColor="accent4" w:sz="4" w:space="0"/>
      </w:tblBorders>
    </w:tblPr>
    <w:tblStylePr w:type="fir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5c7541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254175" w:themeColor="accent5" w:sz="4" w:space="0"/>
        <w:left w:val="single" w:color="254175" w:themeColor="accent5" w:sz="4" w:space="0"/>
        <w:bottom w:val="single" w:color="254175" w:themeColor="accent5" w:sz="4" w:space="0"/>
        <w:right w:val="single" w:color="254175" w:themeColor="accent5" w:sz="4" w:space="0"/>
        <w:insideH w:val="single" w:color="254175" w:themeColor="accent5" w:sz="4" w:space="0"/>
        <w:insideV w:val="single" w:color="254175" w:themeColor="accent5" w:sz="4" w:space="0"/>
      </w:tblBorders>
    </w:tblPr>
    <w:tblStylePr w:type="firstRow">
      <w:rPr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5c7541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416429" w:themeColor="accent6" w:sz="4" w:space="0"/>
        <w:left w:val="single" w:color="416429" w:themeColor="accent6" w:sz="4" w:space="0"/>
        <w:bottom w:val="single" w:color="416429" w:themeColor="accent6" w:sz="4" w:space="0"/>
        <w:right w:val="single" w:color="416429" w:themeColor="accent6" w:sz="4" w:space="0"/>
        <w:insideH w:val="single" w:color="416429" w:themeColor="accent6" w:sz="4" w:space="0"/>
        <w:insideV w:val="single" w:color="416429" w:themeColor="accent6" w:sz="4" w:space="0"/>
      </w:tblBorders>
    </w:tblPr>
    <w:tblStylePr w:type="firstRow">
      <w:rPr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5B9BD5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5B9BD5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5B9BD5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4B184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4B184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C9C9C9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9C9C9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9C9C9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FD865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FD865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8DA9DB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8DA9DB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8DA9DB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rsid w:val="005c7541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A9D08E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A9D08E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A9D08E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  <w:style w:type="table" w:styleId="af9">
    <w:name w:val="Table Grid"/>
    <w:basedOn w:val="a1"/>
    <w:uiPriority w:val="39"/>
    <w:rsid w:val="005c7541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05E4D-1C38-4B9F-AA6A-210DE62DB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2058</TotalTime>
  <Application>LibreOffice/6.4.7.2$Linux_X86_64 LibreOffice_project/40$Build-2</Application>
  <Pages>23</Pages>
  <Words>8592</Words>
  <Characters>52361</Characters>
  <CharactersWithSpaces>60238</CharactersWithSpaces>
  <Paragraphs>1244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2023-08-22T13:36:00Z</dcterms:created>
  <dc:creator>User</dc:creator>
  <dc:description/>
  <dc:language>ru-RU</dc:language>
  <cp:lastModifiedBy/>
  <dcterms:modified xsi:type="dcterms:W3CDTF">2024-06-18T11:34:02Z</dcterms:modified>
  <cp:revision>139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