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30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ДЕПАРТАМЕНТ ВЕТЕРИНАРИИ</w:t>
        <w:br/>
        <w:t>ТОМСКОЙ ОБЛАСТИ</w:t>
        <w:br/>
        <w:br/>
        <w:t>РАСПОРЯЖЕНИЕ</w:t>
      </w:r>
    </w:p>
    <w:p>
      <w:pPr>
        <w:pStyle w:val="Normal"/>
        <w:tabs>
          <w:tab w:val="clear" w:pos="327"/>
          <w:tab w:val="right" w:pos="9930" w:leader="none"/>
        </w:tabs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tabs>
          <w:tab w:val="clear" w:pos="327"/>
          <w:tab w:val="right" w:pos="9930" w:leader="none"/>
        </w:tabs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</w:r>
    </w:p>
    <w:tbl>
      <w:tblPr>
        <w:tblW w:w="9781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noVBand="0" w:noHBand="0" w:lastColumn="0" w:firstColumn="0" w:lastRow="0" w:firstRow="0"/>
      </w:tblPr>
      <w:tblGrid>
        <w:gridCol w:w="2805"/>
        <w:gridCol w:w="5416"/>
        <w:gridCol w:w="850"/>
        <w:gridCol w:w="709"/>
      </w:tblGrid>
      <w:tr>
        <w:trPr>
          <w:trHeight w:val="330" w:hRule="atLeast"/>
        </w:trPr>
        <w:tc>
          <w:tcPr>
            <w:tcW w:w="2805" w:type="dxa"/>
            <w:tcBorders/>
            <w:shd w:color="auto" w:fill="auto" w:val="clear"/>
          </w:tcPr>
          <w:p>
            <w:pPr>
              <w:pStyle w:val="Style29"/>
              <w:jc w:val="left"/>
              <w:rPr>
                <w:rFonts w:ascii="PT Astra Serif" w:hAnsi="PT Astra Serif" w:eastAsia="Lucida Sans Unicode" w:cs="Mangal"/>
                <w:kern w:val="2"/>
                <w:sz w:val="28"/>
                <w:szCs w:val="24"/>
                <w:lang w:eastAsia="zh-CN" w:bidi="hi-IN"/>
              </w:rPr>
            </w:pPr>
            <w:r>
              <w:rPr>
                <w:rFonts w:eastAsia="Lucida Sans Unicode" w:cs="Mangal" w:ascii="PT Astra Serif" w:hAnsi="PT Astra Serif"/>
                <w:kern w:val="2"/>
                <w:sz w:val="28"/>
                <w:szCs w:val="24"/>
                <w:lang w:eastAsia="zh-CN" w:bidi="hi-IN"/>
              </w:rPr>
              <w:t>15.02.2023</w:t>
            </w:r>
          </w:p>
        </w:tc>
        <w:tc>
          <w:tcPr>
            <w:tcW w:w="5416" w:type="dxa"/>
            <w:tcBorders/>
            <w:shd w:color="auto" w:fill="auto" w:val="clear"/>
          </w:tcPr>
          <w:p>
            <w:pPr>
              <w:pStyle w:val="Style29"/>
              <w:ind w:firstLine="709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</w:tc>
        <w:tc>
          <w:tcPr>
            <w:tcW w:w="850" w:type="dxa"/>
            <w:tcBorders/>
            <w:shd w:color="auto" w:fill="auto" w:val="clear"/>
          </w:tcPr>
          <w:p>
            <w:pPr>
              <w:pStyle w:val="Normal"/>
              <w:tabs>
                <w:tab w:val="clear" w:pos="327"/>
                <w:tab w:val="center" w:pos="-55" w:leader="none"/>
                <w:tab w:val="right" w:pos="9930" w:leader="none"/>
              </w:tabs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</w:p>
        </w:tc>
        <w:tc>
          <w:tcPr>
            <w:tcW w:w="709" w:type="dxa"/>
            <w:tcBorders/>
            <w:shd w:color="auto" w:fill="auto" w:val="clear"/>
          </w:tcPr>
          <w:p>
            <w:pPr>
              <w:pStyle w:val="Style29"/>
              <w:jc w:val="right"/>
              <w:rPr>
                <w:rFonts w:ascii="PT Astra Serif" w:hAnsi="PT Astra Serif" w:eastAsia="Lucida Sans Unicode" w:cs="Mangal"/>
                <w:kern w:val="2"/>
                <w:sz w:val="28"/>
                <w:szCs w:val="24"/>
                <w:lang w:eastAsia="zh-CN" w:bidi="hi-IN"/>
              </w:rPr>
            </w:pPr>
            <w:r>
              <w:rPr>
                <w:rFonts w:eastAsia="Lucida Sans Unicode" w:cs="Mangal" w:ascii="PT Astra Serif" w:hAnsi="PT Astra Serif"/>
                <w:kern w:val="2"/>
                <w:sz w:val="28"/>
                <w:szCs w:val="24"/>
                <w:lang w:eastAsia="zh-CN" w:bidi="hi-IN"/>
              </w:rPr>
              <w:t>23</w:t>
            </w:r>
          </w:p>
        </w:tc>
      </w:tr>
      <w:tr>
        <w:trPr>
          <w:trHeight w:val="888" w:hRule="atLeast"/>
        </w:trPr>
        <w:tc>
          <w:tcPr>
            <w:tcW w:w="9780" w:type="dxa"/>
            <w:gridSpan w:val="4"/>
            <w:tcBorders/>
            <w:shd w:color="auto" w:fill="auto" w:val="clear"/>
          </w:tcPr>
          <w:p>
            <w:pPr>
              <w:pStyle w:val="Style29"/>
              <w:ind w:firstLine="70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</w:tc>
      </w:tr>
      <w:tr>
        <w:trPr/>
        <w:tc>
          <w:tcPr>
            <w:tcW w:w="9780" w:type="dxa"/>
            <w:gridSpan w:val="4"/>
            <w:tcBorders/>
            <w:shd w:color="auto" w:fill="auto" w:val="clear"/>
          </w:tcPr>
          <w:p>
            <w:pPr>
              <w:pStyle w:val="Style29"/>
              <w:ind w:firstLine="70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 внесении изменений в распоряжение Департамента ветеринарии Томской области от 12.01.2021 № 1/3</w:t>
            </w:r>
          </w:p>
        </w:tc>
      </w:tr>
    </w:tbl>
    <w:p>
      <w:pPr>
        <w:pStyle w:val="Normal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Arial" w:cs="Arial"/>
          <w:szCs w:val="20"/>
        </w:rPr>
      </w:pPr>
      <w:bookmarkStart w:id="0" w:name="_GoBack"/>
      <w:bookmarkEnd w:id="0"/>
      <w:r>
        <w:rPr>
          <w:rFonts w:eastAsia="Arial" w:cs="Arial" w:ascii="PT Astra Serif" w:hAnsi="PT Astra Serif"/>
          <w:szCs w:val="20"/>
        </w:rPr>
        <w:t>Внести в распоряжение Департамента ветеринарии Томской области от 12.01.2021 № 1/3 «Об утверждении порядка осуществления контроля за выполнением государственного задания областными государственными бюджетными учреждениями, в отношении которых Департамент ветеринарии Томской области осуществляет функции и полномочия учредителя» следующие изменения: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Arial" w:cs="Arial"/>
          <w:szCs w:val="20"/>
        </w:rPr>
      </w:pPr>
      <w:r>
        <w:rPr>
          <w:rFonts w:eastAsia="Arial" w:cs="Arial" w:ascii="PT Astra Serif" w:hAnsi="PT Astra Serif"/>
          <w:szCs w:val="20"/>
        </w:rPr>
        <w:t>1) в наименовании слово «бюджетными» заменить словом «автономными»;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 w:eastAsia="Arial" w:cs="Arial"/>
          <w:szCs w:val="20"/>
        </w:rPr>
      </w:pPr>
      <w:r>
        <w:rPr>
          <w:rFonts w:eastAsia="Arial" w:cs="Arial" w:ascii="PT Astra Serif" w:hAnsi="PT Astra Serif"/>
          <w:szCs w:val="20"/>
        </w:rPr>
        <w:t>2) в пункте 1 слово «бюджетными» заменить словом «автономными»;</w:t>
      </w:r>
    </w:p>
    <w:p>
      <w:pPr>
        <w:pStyle w:val="Normal"/>
        <w:widowControl/>
        <w:suppressAutoHyphens w:val="false"/>
        <w:ind w:firstLine="709"/>
        <w:rPr>
          <w:rFonts w:ascii="PT Astra Serif" w:hAnsi="PT Astra Serif"/>
        </w:rPr>
      </w:pPr>
      <w:r>
        <w:rPr>
          <w:rFonts w:eastAsia="Arial" w:cs="Arial" w:ascii="PT Astra Serif" w:hAnsi="PT Astra Serif"/>
          <w:szCs w:val="20"/>
        </w:rPr>
        <w:t>3) порядок осуществления контроля за выполнением государственного задания областными государственными бюджетными учреждениями, в отношении которых Департамент ветеринарии Томской области осуществляет функции и полномочия учредителя, утвержденный указанным распоряжением, изложить в новой редакции согласно приложению к настоящему распоряжению.</w:t>
      </w:r>
      <w:r>
        <w:rPr>
          <w:rFonts w:ascii="PT Astra Serif" w:hAnsi="PT Astra Serif"/>
        </w:rPr>
        <w:t xml:space="preserve"> </w:t>
      </w:r>
    </w:p>
    <w:p>
      <w:pPr>
        <w:pStyle w:val="Normal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BodyTextIndent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BodyTextIndent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BodyTextIndent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BodyTextIndent"/>
        <w:ind w:hanging="0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Начальник департамента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В.В.Табакаев</w:t>
      </w:r>
    </w:p>
    <w:p>
      <w:pPr>
        <w:pStyle w:val="BodyTextIndent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BodyTextIndent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sectPr>
          <w:type w:val="nextPage"/>
          <w:pgSz w:w="11906" w:h="16838"/>
          <w:pgMar w:left="1276" w:right="850" w:header="0" w:top="993" w:footer="0" w:bottom="1134" w:gutter="0"/>
          <w:pgNumType w:fmt="decimal"/>
          <w:formProt w:val="false"/>
          <w:textDirection w:val="lrTb"/>
          <w:docGrid w:type="default" w:linePitch="381" w:charSpace="0"/>
        </w:sectPr>
        <w:pStyle w:val="Western"/>
        <w:spacing w:beforeAutospacing="0" w:before="0" w:after="0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ind w:left="5670"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Приложение </w:t>
      </w:r>
    </w:p>
    <w:p>
      <w:pPr>
        <w:pStyle w:val="Normal"/>
        <w:ind w:left="5670" w:hanging="0"/>
        <w:jc w:val="left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к распоряжению Департамента ветеринарии Томской области </w:t>
      </w:r>
    </w:p>
    <w:p>
      <w:pPr>
        <w:pStyle w:val="Normal"/>
        <w:ind w:left="5670" w:hanging="0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от </w:t>
      </w:r>
      <w:r>
        <w:rPr>
          <w:rFonts w:eastAsia="Lucida Sans Unicode" w:cs="Mangal" w:ascii="PT Astra Serif" w:hAnsi="PT Astra Serif"/>
          <w:kern w:val="2"/>
          <w:sz w:val="28"/>
          <w:szCs w:val="28"/>
          <w:lang w:eastAsia="zh-CN" w:bidi="hi-IN"/>
        </w:rPr>
        <w:t xml:space="preserve">15.02.2023 </w:t>
      </w:r>
      <w:r>
        <w:rPr>
          <w:rFonts w:ascii="PT Astra Serif" w:hAnsi="PT Astra Serif"/>
          <w:szCs w:val="28"/>
        </w:rPr>
        <w:t xml:space="preserve">№ </w:t>
      </w:r>
      <w:r>
        <w:rPr>
          <w:rFonts w:ascii="PT Astra Serif" w:hAnsi="PT Astra Serif"/>
          <w:szCs w:val="28"/>
        </w:rPr>
        <w:t>23</w:t>
      </w:r>
    </w:p>
    <w:p>
      <w:pPr>
        <w:pStyle w:val="Normal"/>
        <w:ind w:left="5670" w:hanging="0"/>
        <w:rPr>
          <w:rFonts w:ascii="PT Astra Serif" w:hAnsi="PT Astra Serif"/>
          <w:szCs w:val="28"/>
        </w:rPr>
      </w:pPr>
      <w:r>
        <w:rPr/>
      </w:r>
    </w:p>
    <w:p>
      <w:pPr>
        <w:pStyle w:val="Normal"/>
        <w:ind w:left="5670" w:hanging="0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Normal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ПОРЯДОК</w:t>
      </w:r>
    </w:p>
    <w:p>
      <w:pPr>
        <w:pStyle w:val="Normal"/>
        <w:jc w:val="center"/>
        <w:rPr>
          <w:rFonts w:ascii="PT Astra Serif" w:hAnsi="PT Astra Serif" w:eastAsia="Arial" w:cs="Arial"/>
          <w:szCs w:val="20"/>
        </w:rPr>
      </w:pPr>
      <w:r>
        <w:rPr>
          <w:rFonts w:eastAsia="Arial" w:cs="Arial" w:ascii="PT Astra Serif" w:hAnsi="PT Astra Serif"/>
          <w:szCs w:val="20"/>
        </w:rPr>
        <w:t>осуществления контроля за выполнением государственного задания</w:t>
        <w:br/>
        <w:t xml:space="preserve">областными государственными автономными учреждениями, в отношении которых Департамент ветеринарии Томской области осуществляет функции и </w:t>
        <w:br/>
        <w:t>полномочия учредителя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Normal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1. Общие положения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1. Настоящий Порядок определяет механизм осуществления контроля за выполнением государственного задания по выполнению государственных работ областными государственными автономными учреждениями (далее — учреждения)</w:t>
      </w:r>
      <w:r>
        <w:rPr>
          <w:rFonts w:eastAsia="Arial" w:cs="Arial" w:ascii="PT Astra Serif" w:hAnsi="PT Astra Serif"/>
          <w:szCs w:val="20"/>
        </w:rPr>
        <w:t xml:space="preserve">, в отношении которых Департамент ветеринарии Томской области осуществляет функции и полномочия учредителя </w:t>
      </w:r>
      <w:r>
        <w:rPr>
          <w:rFonts w:ascii="PT Astra Serif" w:hAnsi="PT Astra Serif"/>
          <w:szCs w:val="28"/>
        </w:rPr>
        <w:t>(далее — Департамент).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2. Предметом контроля является деятельность учреждений в части выполнения плановых показателей, характеризующих объем и качество выполняемых государственных работ (далее – показателей).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3. Целью осуществления контроля является подтверждение факта исполнения государственного задания (выполнения государственных работ), подтверждение соответствия объема предоставленных государственных работ параметрам государственного задания.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4. Основными задачами контроля являются: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подтверждение достоверности выполнения государственного задания;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определение соответствия фактических значений показателей плановым значениям показателей, установленным в государственном задании;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анализ причин отклонения фактического объема государственных работ, выполненных учреждением, от плановых значений показателей, установленных в государственном задании;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своевременное изменение плановых значений показателей;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принятие мер по обеспечению выполнения установленных показателей.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5. Контроль за выполнением государственного задания осуществляется посредством проведения: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текущего и ежегодного мониторинга выполнения государственного задания;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- проверки выполнения государственного задания. 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Normal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2. Текущий</w:t>
      </w:r>
      <w:r>
        <w:rPr>
          <w:rFonts w:ascii="PT Astra Serif" w:hAnsi="PT Astra Serif"/>
        </w:rPr>
        <w:t xml:space="preserve"> и ежегодный </w:t>
      </w:r>
      <w:r>
        <w:rPr>
          <w:rFonts w:ascii="PT Astra Serif" w:hAnsi="PT Astra Serif"/>
          <w:szCs w:val="28"/>
        </w:rPr>
        <w:t>мониторинг выполнения государственного задания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6. Текущий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Cs w:val="28"/>
        </w:rPr>
        <w:t>мониторинг выполнения государственного задания осуществляется путем проведения камеральной проверки согласованных должностным лицом комитета государственного надзора и контроля Департамента, курирующим деятельность учреждения: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1) отчета об исполнении государственного задания за 6 месяцев, предоставляемого в Департамент сопроводительным письмом на бумажном носителе и в электронном виде (в форме таблиц Excel) в срок до 10 числа месяца, следующего за отчетным периодом, по форме, согласно приложению №1 к настоящему порядку; 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2) предварительного отчета об исполнении государственного задания за год, представляемого в Департамент сопроводительным письмом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Cs w:val="28"/>
        </w:rPr>
        <w:t xml:space="preserve">на бумажном носителе и в электронном виде (в форме таблиц Excel) в срок до 20 ноября текущего финансового года, по форме годового отчета об исполнении государственного задания, установленной постановлением Администрации Томской области от 14.10.2015 № 375а </w:t>
      </w: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>«Об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учреждениями»,</w:t>
      </w:r>
      <w:r>
        <w:rPr>
          <w:rFonts w:ascii="PT Astra Serif" w:hAnsi="PT Astra Serif"/>
          <w:szCs w:val="28"/>
        </w:rPr>
        <w:t xml:space="preserve"> исходя из фактических данных об исполнении государственного задания по итогам десяти месяцев и ожидаемого исполнения за год. 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7. Камеральная проверка исполнения государственного задания осуществляется должностными лицами финансово-экономического комитета Департамента, в должностные обязанности которого входит осуществление камеральной проверки.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8. Камеральная проверки проводится в течение пяти рабочих дней, со дня получения от учреждения документов, указанных в пункте 6 настоящего порядка.</w:t>
      </w:r>
    </w:p>
    <w:p>
      <w:pPr>
        <w:pStyle w:val="Normal"/>
        <w:ind w:firstLine="709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9. Камеральная проверка проводиться путем форматно-логического контроля сопоставимости показателей по внутридокументным и междокументным контрольным соотношением данных, отраженных в отчетах, сверки с данными иной статистической отчетности, анализа рисков не выполнения государственного задания за год, соблюдения сроков представления отчетов и порядка заполнения форм отчетов.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10. Фактические значения показателя, характеризующего объем государственной работы и причин невыполнения плановых показателей, с учетом допустимых отклонений, в пределах которого государственное задание считается выполненным, заполняются руководителем учреждения.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11. Фактические значения показателя, характеризующего качество выполненной государственной работы и причина его невыполнения, заполняются должностным лицом комитета государственного надзора и контроля Департамента, контролирующий деятельность учреждения, при этом: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1) при оценке показателя качества работы «Ветеринарные обследования объектов, связанных с содержанием животных, переработкой, хранением и реализацией продукции и сырья животного происхождения»: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оценивается охват объектов обследованиями на территории Томской области;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критерием оценки является процентное соотношение фактического охвата обследованиями объектов к плановому значению;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2) при оценке показателя качества работы «Плановые профилактические вакцинации животных (птиц) против особо опасных болезней животных и болезней, общих для человека и животных (птиц)»: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показателем оценки качества работы является охват поголовья животных иммунизацией против природно-очаговых особо опасных болезней и особо опасных болезней, по которым Томская область является стационарно неблагополучной;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критерием оценки является процентное соотношение фактического охвата поголовья животных иммунизацией против особо-опасных болезней к плановому значению;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3) при оценке показателя качества работы «Диагностические мероприятия по предупреждению заразных и иных болезней животных»: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показателем оценки качества работы является отсутствие случаев возникновения очагов заразных болезней животных, подвергнутых диагностическим мероприятиям;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критерием оценки является отсутствие случаев возникновения очагов заболевания туберкулезом и гиподерматозом среди животных, подвергнутых диагностическим мероприятиям на территории Томской области (выявление случая возникновения очага является 100% невыполнением показателя, характеризующего качество государственной работы);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4) при оценке показателя качества работы «Отбор проб в рамках проведения противоэпизоотических мероприятий и мероприятий по обеспечению безопасности в ветеринарном отношении продукции животного происхождения на территории Томской области»: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показателем оценки качества работы является доля отобранных проб, принятых к лабораторному исследованию;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критерием оценки является процентное соотношение проб, принятых к лабораторному исследованию в общем объеме отобранных проб;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5) при оценке показателя качества работы «Лабораторные исследования в рамках проведения противоэпизоотических мероприятий и мероприятий по обеспечению безопасности в ветеринарном отношении продукции животного происхождения на территории Томской области»: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показателем оценки качества работы является доля удовлетворительных результатов при проведении сличительных испытаний;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критерием оценки является процентное соотношение удовлетворительных результатов в общем объеме проведенных сличительных испытаний (отрицательный результат сличительных испытаний является 100% невыполнением показателя, характеризующего качество государственной работы).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12. Данные текущего мониторинга используются Департаментом при оценке необходимости внесения изменений в плановые объемы показателей государственного задания на текущий финансовый год.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13. Ежегодный мониторинг осуществляется путем утверждения годового отчета об исполнении государственного задания за год в соответствии с пунктом 9 порядка формирования государственного задания в отношении областных государственных учреждений, утвержденного</w:t>
      </w:r>
      <w:r>
        <w:rPr>
          <w:rFonts w:eastAsia="Times New Roman" w:cs="PT Astra Serif" w:ascii="PT Astra Serif" w:hAnsi="PT Astra Serif"/>
          <w:kern w:val="0"/>
          <w:szCs w:val="28"/>
          <w:lang w:eastAsia="ru-RU" w:bidi="ar-SA"/>
        </w:rPr>
        <w:t xml:space="preserve"> постановлением № 375а</w:t>
      </w:r>
      <w:r>
        <w:rPr>
          <w:rFonts w:ascii="PT Astra Serif" w:hAnsi="PT Astra Serif"/>
          <w:szCs w:val="28"/>
        </w:rPr>
        <w:t>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14. Данные годового отчета используются Департаментом при оценке потребности в государственных работах, выполняемых учреждениями, на очередной финансовый год и плановый период.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15. Годовой отчет об исполнении государственного задания представляется в Департамент сопроводительным письмом на бумажном носителе и в электронном виде (в форме таблиц Excel) после согласования с должностным лицом комитета государственного надзора и контроля Департамента, курирующего деятельность учреждения, в срок до 25 января года, следующего за отчетным, по форме</w:t>
      </w:r>
      <w:r>
        <w:rPr>
          <w:rFonts w:ascii="PT Astra Serif" w:hAnsi="PT Astra Serif"/>
        </w:rPr>
        <w:t xml:space="preserve">, </w:t>
      </w:r>
      <w:r>
        <w:rPr>
          <w:rFonts w:ascii="PT Astra Serif" w:hAnsi="PT Astra Serif"/>
          <w:szCs w:val="28"/>
        </w:rPr>
        <w:t>утвержденной постановлением № 375а.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16. При выявлении в документах, указанных в пунктах 6,13 настоящего порядка (далее - отчеты), по результатам арифметического и форматно-логической контроля в форме таблиц Excel по контрольным соотношениям ошибок и (или) несоответствия сведений, полученных по результатам текущего и ежегодного мониторинга, а так же противоречия между сведениями, содержащимися в иных представленных документах,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Cs w:val="28"/>
        </w:rPr>
        <w:t xml:space="preserve">документы возвращаются учреждению на доработку. 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17. В форму таблиц отчетов допустимо вносить информацию о проведенных мероприятиях форматно-логического контроля, в связи с выявленными расхождениями (несоответствиями).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18. Доработанные учреждением отчеты принимаются Департаментом к повторному рассмотрению не позднее 3-х дней со дня получения заключения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Cs w:val="28"/>
        </w:rPr>
        <w:t>о проведенных мероприятиях форматно-логического контроля, с пояснительной запиской о причинах обоснованных расхождений, после чего Департаментом составляется акт камеральной проверки с решением о принятии (не принятии) к утверждению отчета.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19. Отчеты согласовываются заместителем начальника Департамента, председателем комитета организации ветеринарной деятельности, утверждаются начальником Департамента.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Normal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3. Проверка выполнения государственного задания 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20. Проверка выполнения государственного задания (далее - проверка) проводится должностными лицами комитета государственного надзора и контроля Департамента в рамках ведомственной комплексной проверки эффективности финансово-хозяйственной деятельности учреждений (далее - проверки), порядок проведения которой установлен распоряжением Департамента. 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21. Проверка проводится путем сопоставления данных отчета об исполнении государственного задания за проверяемый год с первичной документацией, подтверждающей факт выполнения государственной работы за проверяемый период.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22. Проверка достижений показателей объема исполнения государственного задания включает: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проверку наличия первичной документации, подтверждающей объем и факт выполнения государственной работы;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сопоставление данных с оперативной, ведомственной и статистической отчетностью, предоставляемой в Департамент;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анализ причин (факторов) возникновения не соответствия фактического объема, значений показателей объема, качества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Cs w:val="28"/>
        </w:rPr>
        <w:t>выполненных государственных работ, отраженных в отчетах за проверяемый период.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Normal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4. Результаты контроля выполнения государственного задания 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23. По результатам камеральной проверки отчетов составляется акт камеральной проверки выполнения государственного задания (далее - акт проверки) за соответствующий период, в котором указываются: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- обоснованные отклонения от плановых показателей; 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- риски невыполнения государственного задания или перевыполнения плановых значений показателей (с учетом допустимых отклонений, при котором государственное задание считается выполненным (перевыполненным)); 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нарушения сроков представления отчетов;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- нарушения правил заполнения форм отчетов; 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объяснения (пояснения) должностных лиц учреждения;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иные материалы.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24. Результаты проверки выполнения государственного задания указываются в акте ведомственной комплексной проверки эффективности финансово-хозяйственной деятельности.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25. По результатам контроля выполнения государственного задания производится: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уточнение государственного задания и размера субсидии, в случае если показатели объема, указанные в предварительном отчете о выполнении государственного задания за год, меньше показателей, установленных в государственном задании (с учетом допустимых отклонений, при котором государственное задание считается выполненным);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возврат средств субсидии в соответствии с бюджетным законодательством Российской Федерации, в случае если показатели объема, указанные в годовом отчете об исполнении государственного задания за год, меньше показателей, установленных в государственном задании (с учетом допустимых отклонений, при котором государственное задание считается выполненным), в объеме, соответствующем показателям, характеризующим объем не выполненной работы;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формирование и финансовое обеспечение выполнения учреждением государственного задания на очередной финансовый год и плановый период с учетом показателей отчетов и результатов проверок выполнения государственного задания;</w:t>
      </w:r>
    </w:p>
    <w:p>
      <w:p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- применение к руководителю учреждения дисциплинарного взыскания в порядке, установленном трудовым законодательством Российской Федерации.</w:t>
      </w:r>
    </w:p>
    <w:p>
      <w:pPr>
        <w:sectPr>
          <w:headerReference w:type="default" r:id="rId2"/>
          <w:type w:val="nextPage"/>
          <w:pgSz w:w="11906" w:h="16838"/>
          <w:pgMar w:left="1276" w:right="850" w:header="708" w:top="851" w:footer="0" w:bottom="1134" w:gutter="0"/>
          <w:pgNumType w:start="1" w:fmt="decimal"/>
          <w:formProt w:val="false"/>
          <w:titlePg/>
          <w:textDirection w:val="lrTb"/>
          <w:docGrid w:type="default" w:linePitch="381" w:charSpace="0"/>
        </w:sectPr>
        <w:pStyle w:val="Normal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ConsPlusNormal"/>
        <w:numPr>
          <w:ilvl w:val="0"/>
          <w:numId w:val="0"/>
        </w:numPr>
        <w:ind w:left="11482" w:firstLine="709"/>
        <w:outlineLvl w:val="1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ind w:left="11057" w:hanging="0"/>
        <w:outlineLvl w:val="1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ind w:left="11057" w:hanging="0"/>
        <w:outlineLvl w:val="1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Приложение №1</w:t>
      </w:r>
    </w:p>
    <w:p>
      <w:pPr>
        <w:pStyle w:val="ConsPlusNormal"/>
        <w:ind w:left="11057" w:hanging="0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 xml:space="preserve">к Порядку осуществления </w:t>
      </w:r>
    </w:p>
    <w:p>
      <w:pPr>
        <w:pStyle w:val="ConsPlusNormal"/>
        <w:ind w:left="11057" w:hanging="0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 xml:space="preserve">контроля за выполнением </w:t>
      </w:r>
    </w:p>
    <w:p>
      <w:pPr>
        <w:pStyle w:val="ConsPlusNormal"/>
        <w:ind w:left="11057" w:hanging="0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государственного задания</w:t>
      </w:r>
    </w:p>
    <w:p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Форма</w:t>
      </w:r>
    </w:p>
    <w:p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nformat"/>
        <w:ind w:left="11057" w:hanging="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УТВЕРЖДАЮ</w:t>
      </w:r>
    </w:p>
    <w:p>
      <w:pPr>
        <w:pStyle w:val="ConsPlusNonformat"/>
        <w:ind w:left="11057" w:hanging="0"/>
        <w:jc w:val="center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  <w:t>___________________________________</w:t>
      </w:r>
    </w:p>
    <w:p>
      <w:pPr>
        <w:pStyle w:val="ConsPlusNonformat"/>
        <w:ind w:left="11057" w:hanging="0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  <w:t>(должность, фамилия, имя, отчество</w:t>
      </w:r>
    </w:p>
    <w:p>
      <w:pPr>
        <w:pStyle w:val="ConsPlusNonformat"/>
        <w:ind w:left="11057" w:hanging="0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  <w:t>(последнее - при наличии) и подпись руководителя исполнительного</w:t>
      </w:r>
    </w:p>
    <w:p>
      <w:pPr>
        <w:pStyle w:val="ConsPlusNonformat"/>
        <w:ind w:left="11057" w:hanging="0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  <w:t>органа Томской области, осуществляющего функции и полномочия учредителя областного</w:t>
      </w:r>
    </w:p>
    <w:p>
      <w:pPr>
        <w:pStyle w:val="ConsPlusNonformat"/>
        <w:ind w:left="11057" w:hanging="0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  <w:t>государственного учреждения)</w:t>
      </w:r>
    </w:p>
    <w:p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nformat"/>
        <w:jc w:val="center"/>
        <w:rPr>
          <w:rFonts w:ascii="PT Astra Serif" w:hAnsi="PT Astra Serif" w:cs="Times New Roman"/>
          <w:sz w:val="28"/>
          <w:szCs w:val="28"/>
        </w:rPr>
      </w:pPr>
      <w:bookmarkStart w:id="1" w:name="P465"/>
      <w:bookmarkEnd w:id="1"/>
      <w:r>
        <w:rPr>
          <w:rFonts w:cs="Times New Roman" w:ascii="PT Astra Serif" w:hAnsi="PT Astra Serif"/>
          <w:sz w:val="28"/>
          <w:szCs w:val="28"/>
        </w:rPr>
        <w:t>Отчет об исполнении государственного задания за 6 месяцев</w:t>
      </w:r>
    </w:p>
    <w:p>
      <w:pPr>
        <w:pStyle w:val="ConsPlusNonformat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nformat"/>
        <w:jc w:val="center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  <w:t>_________________________________</w:t>
      </w:r>
    </w:p>
    <w:p>
      <w:pPr>
        <w:pStyle w:val="ConsPlusNonformat"/>
        <w:jc w:val="center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  <w:t>наименование учреждения</w:t>
      </w:r>
    </w:p>
    <w:p>
      <w:pPr>
        <w:pStyle w:val="ConsPlusNonformat"/>
        <w:jc w:val="center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sectPr>
          <w:headerReference w:type="default" r:id="rId3"/>
          <w:type w:val="nextPage"/>
          <w:pgSz w:orient="landscape" w:w="16838" w:h="11906"/>
          <w:pgMar w:left="1134" w:right="1134" w:header="0" w:top="284" w:footer="0" w:bottom="851" w:gutter="0"/>
          <w:pgNumType w:fmt="decimal"/>
          <w:formProt w:val="false"/>
          <w:textDirection w:val="lrTb"/>
          <w:docGrid w:type="default" w:linePitch="381" w:charSpace="0"/>
        </w:sectPr>
        <w:pStyle w:val="ConsPlusNonformat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2</w:t>
      </w:r>
    </w:p>
    <w:p>
      <w:pPr>
        <w:pStyle w:val="ConsPlusNonformat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  <w:lang w:val="en-US"/>
        </w:rPr>
        <w:t>I</w:t>
      </w:r>
      <w:r>
        <w:rPr>
          <w:rFonts w:cs="Times New Roman" w:ascii="PT Astra Serif" w:hAnsi="PT Astra Serif"/>
          <w:sz w:val="28"/>
          <w:szCs w:val="28"/>
        </w:rPr>
        <w:t>. Исполнение государственного задания в части оказания государственных работ</w:t>
      </w:r>
    </w:p>
    <w:p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1. Государственная работа «___________________________________________________»</w:t>
      </w:r>
    </w:p>
    <w:p>
      <w:pPr>
        <w:pStyle w:val="ConsPlusNonformat"/>
        <w:jc w:val="both"/>
        <w:rPr>
          <w:rFonts w:ascii="PT Astra Serif" w:hAnsi="PT Astra Serif" w:cs="Times New Roman"/>
          <w:sz w:val="22"/>
          <w:szCs w:val="22"/>
        </w:rPr>
      </w:pPr>
      <w:r>
        <w:rPr>
          <w:rFonts w:cs="Times New Roman" w:ascii="PT Astra Serif" w:hAnsi="PT Astra Serif"/>
          <w:sz w:val="22"/>
          <w:szCs w:val="22"/>
        </w:rPr>
        <w:t xml:space="preserve">                                                                                          </w:t>
      </w:r>
      <w:r>
        <w:rPr>
          <w:rFonts w:cs="Times New Roman" w:ascii="PT Astra Serif" w:hAnsi="PT Astra Serif"/>
          <w:sz w:val="22"/>
          <w:szCs w:val="22"/>
        </w:rPr>
        <w:t>(наименование государственной работы)</w:t>
      </w:r>
    </w:p>
    <w:p>
      <w:pPr>
        <w:pStyle w:val="ConsPlusNonformat"/>
        <w:jc w:val="both"/>
        <w:rPr>
          <w:rFonts w:ascii="PT Astra Serif" w:hAnsi="PT Astra Serif" w:cs="Times New Roman"/>
          <w:sz w:val="22"/>
          <w:szCs w:val="22"/>
        </w:rPr>
      </w:pPr>
      <w:r>
        <w:rPr>
          <w:rFonts w:cs="Times New Roman" w:ascii="PT Astra Serif" w:hAnsi="PT Astra Serif"/>
          <w:sz w:val="22"/>
          <w:szCs w:val="22"/>
        </w:rPr>
      </w:r>
    </w:p>
    <w:p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1.1. Сведения о достижении показателей объема</w:t>
      </w:r>
    </w:p>
    <w:tbl>
      <w:tblPr>
        <w:tblW w:w="1480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4a0" w:noVBand="1" w:noHBand="0" w:lastColumn="0" w:firstColumn="1" w:lastRow="0" w:firstRow="1"/>
      </w:tblPr>
      <w:tblGrid>
        <w:gridCol w:w="359"/>
        <w:gridCol w:w="1830"/>
        <w:gridCol w:w="1381"/>
        <w:gridCol w:w="1594"/>
        <w:gridCol w:w="1219"/>
        <w:gridCol w:w="2183"/>
        <w:gridCol w:w="1701"/>
        <w:gridCol w:w="1418"/>
        <w:gridCol w:w="1559"/>
        <w:gridCol w:w="1557"/>
      </w:tblGrid>
      <w:tr>
        <w:trPr/>
        <w:tc>
          <w:tcPr>
            <w:tcW w:w="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both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Содержание государственной работы</w:t>
            </w:r>
          </w:p>
        </w:tc>
        <w:tc>
          <w:tcPr>
            <w:tcW w:w="1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Условия выполнения государственной работы</w:t>
            </w:r>
          </w:p>
        </w:tc>
        <w:tc>
          <w:tcPr>
            <w:tcW w:w="112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Показатель, характеризующий объем государственной работы</w:t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PT Astra Serif" w:hAnsi="PT Astra Serif" w:eastAsia="Times New Roman" w:cs="Times New Roman"/>
                <w:sz w:val="22"/>
                <w:szCs w:val="20"/>
                <w:lang w:eastAsia="en-US"/>
              </w:rPr>
            </w:pPr>
            <w:r>
              <w:rPr>
                <w:rFonts w:eastAsia="Times New Roman" w:cs="Times New Roman" w:ascii="PT Astra Serif" w:hAnsi="PT Astra Serif"/>
                <w:sz w:val="22"/>
                <w:szCs w:val="20"/>
                <w:lang w:eastAsia="en-US"/>
              </w:rPr>
            </w:r>
          </w:p>
        </w:tc>
        <w:tc>
          <w:tcPr>
            <w:tcW w:w="18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PT Astra Serif" w:hAnsi="PT Astra Serif" w:eastAsia="Times New Roman" w:cs="Times New Roman"/>
                <w:sz w:val="22"/>
                <w:szCs w:val="20"/>
                <w:lang w:eastAsia="en-US"/>
              </w:rPr>
            </w:pPr>
            <w:r>
              <w:rPr>
                <w:rFonts w:eastAsia="Times New Roman" w:cs="Times New Roman" w:ascii="PT Astra Serif" w:hAnsi="PT Astra Serif"/>
                <w:sz w:val="22"/>
                <w:szCs w:val="20"/>
                <w:lang w:eastAsia="en-US"/>
              </w:rPr>
            </w:r>
          </w:p>
        </w:tc>
        <w:tc>
          <w:tcPr>
            <w:tcW w:w="13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PT Astra Serif" w:hAnsi="PT Astra Serif" w:eastAsia="Times New Roman" w:cs="Times New Roman"/>
                <w:sz w:val="22"/>
                <w:szCs w:val="20"/>
                <w:lang w:eastAsia="en-US"/>
              </w:rPr>
            </w:pPr>
            <w:r>
              <w:rPr>
                <w:rFonts w:eastAsia="Times New Roman" w:cs="Times New Roman" w:ascii="PT Astra Serif" w:hAnsi="PT Astra Serif"/>
                <w:sz w:val="22"/>
                <w:szCs w:val="20"/>
                <w:lang w:eastAsia="en-US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наименование показателя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единица измерения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значение, утвержденное в государственном задании на отчетный финансовый 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фактическое значение за отчетный финансовый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отклонение, в процентах &lt;1&gt;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допустимое (возможное) отклонение &lt;2&gt;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причины невыполнения &lt;3&gt;</w:t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1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3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4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5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9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10</w:t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both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both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both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both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both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both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both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both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both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both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</w:tr>
    </w:tbl>
    <w:p>
      <w:pPr>
        <w:pStyle w:val="ConsPlusNormal"/>
        <w:jc w:val="both"/>
        <w:rPr>
          <w:rFonts w:ascii="PT Astra Serif" w:hAnsi="PT Astra Serif" w:cs="Times New Roman"/>
        </w:rPr>
      </w:pPr>
      <w:r>
        <w:rPr>
          <w:rFonts w:cs="Times New Roman" w:ascii="PT Astra Serif" w:hAnsi="PT Astra Serif"/>
        </w:rPr>
      </w:r>
    </w:p>
    <w:p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1.2. Сведения о достижении показателей качества &lt;4&gt;</w:t>
      </w:r>
    </w:p>
    <w:tbl>
      <w:tblPr>
        <w:tblW w:w="14804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4a0" w:noVBand="1" w:noHBand="0" w:lastColumn="0" w:firstColumn="1" w:lastRow="0" w:firstRow="1"/>
      </w:tblPr>
      <w:tblGrid>
        <w:gridCol w:w="359"/>
        <w:gridCol w:w="1849"/>
        <w:gridCol w:w="1362"/>
        <w:gridCol w:w="1608"/>
        <w:gridCol w:w="1205"/>
        <w:gridCol w:w="2184"/>
        <w:gridCol w:w="1701"/>
        <w:gridCol w:w="1418"/>
        <w:gridCol w:w="1559"/>
        <w:gridCol w:w="1557"/>
      </w:tblGrid>
      <w:tr>
        <w:trPr/>
        <w:tc>
          <w:tcPr>
            <w:tcW w:w="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both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Содержание государственной работы</w:t>
            </w:r>
          </w:p>
        </w:tc>
        <w:tc>
          <w:tcPr>
            <w:tcW w:w="1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Условия выполнения государственной работы</w:t>
            </w:r>
          </w:p>
        </w:tc>
        <w:tc>
          <w:tcPr>
            <w:tcW w:w="112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Показатели, характеризующие качество государственной работы</w:t>
            </w:r>
          </w:p>
        </w:tc>
      </w:tr>
      <w:tr>
        <w:trPr/>
        <w:tc>
          <w:tcPr>
            <w:tcW w:w="3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PT Astra Serif" w:hAnsi="PT Astra Serif" w:eastAsia="Times New Roman" w:cs="Times New Roman"/>
                <w:sz w:val="22"/>
                <w:szCs w:val="20"/>
                <w:lang w:eastAsia="en-US"/>
              </w:rPr>
            </w:pPr>
            <w:r>
              <w:rPr>
                <w:rFonts w:eastAsia="Times New Roman" w:cs="Times New Roman" w:ascii="PT Astra Serif" w:hAnsi="PT Astra Serif"/>
                <w:sz w:val="22"/>
                <w:szCs w:val="20"/>
                <w:lang w:eastAsia="en-US"/>
              </w:rPr>
            </w:r>
          </w:p>
        </w:tc>
        <w:tc>
          <w:tcPr>
            <w:tcW w:w="1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PT Astra Serif" w:hAnsi="PT Astra Serif" w:eastAsia="Times New Roman" w:cs="Times New Roman"/>
                <w:sz w:val="22"/>
                <w:szCs w:val="20"/>
                <w:lang w:eastAsia="en-US"/>
              </w:rPr>
            </w:pPr>
            <w:r>
              <w:rPr>
                <w:rFonts w:eastAsia="Times New Roman" w:cs="Times New Roman" w:ascii="PT Astra Serif" w:hAnsi="PT Astra Serif"/>
                <w:sz w:val="22"/>
                <w:szCs w:val="20"/>
                <w:lang w:eastAsia="en-US"/>
              </w:rPr>
            </w:r>
          </w:p>
        </w:tc>
        <w:tc>
          <w:tcPr>
            <w:tcW w:w="13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PT Astra Serif" w:hAnsi="PT Astra Serif" w:eastAsia="Times New Roman" w:cs="Times New Roman"/>
                <w:sz w:val="22"/>
                <w:szCs w:val="20"/>
                <w:lang w:eastAsia="en-US"/>
              </w:rPr>
            </w:pPr>
            <w:r>
              <w:rPr>
                <w:rFonts w:eastAsia="Times New Roman" w:cs="Times New Roman" w:ascii="PT Astra Serif" w:hAnsi="PT Astra Serif"/>
                <w:sz w:val="22"/>
                <w:szCs w:val="20"/>
                <w:lang w:eastAsia="en-US"/>
              </w:rPr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наименование показателя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единица измерения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значение, утвержденное в государственном задании на отчетный финансовый 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фактическое значение за отчетный финансовый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отклонение, в процентах &lt;1&gt;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допустимое (возможное) отклонение &lt;2&gt;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причины невыполнения &lt;3&gt;</w:t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3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5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bookmarkStart w:id="2" w:name="P620"/>
            <w:bookmarkEnd w:id="2"/>
            <w:r>
              <w:rPr>
                <w:rFonts w:cs="Times New Roman" w:ascii="PT Astra Serif" w:hAnsi="PT Astra Serif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bookmarkStart w:id="3" w:name="P621"/>
            <w:bookmarkEnd w:id="3"/>
            <w:r>
              <w:rPr>
                <w:rFonts w:cs="Times New Roman" w:ascii="PT Astra Serif" w:hAnsi="PT Astra Serif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bookmarkStart w:id="4" w:name="P622"/>
            <w:bookmarkEnd w:id="4"/>
            <w:r>
              <w:rPr>
                <w:rFonts w:cs="Times New Roman" w:ascii="PT Astra Serif" w:hAnsi="PT Astra Serif"/>
                <w:lang w:eastAsia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bookmarkStart w:id="5" w:name="P623"/>
            <w:bookmarkEnd w:id="5"/>
            <w:r>
              <w:rPr>
                <w:rFonts w:cs="Times New Roman" w:ascii="PT Astra Serif" w:hAnsi="PT Astra Serif"/>
                <w:lang w:eastAsia="en-US"/>
              </w:rPr>
              <w:t>9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  <w:t>10</w:t>
            </w:r>
          </w:p>
        </w:tc>
      </w:tr>
      <w:tr>
        <w:trPr/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spacing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cs="Times New Roman" w:ascii="PT Astra Serif" w:hAnsi="PT Astra Serif"/>
                <w:lang w:eastAsia="en-US"/>
              </w:rPr>
            </w:r>
          </w:p>
        </w:tc>
      </w:tr>
    </w:tbl>
    <w:p>
      <w:pPr>
        <w:pStyle w:val="ConsPlusNonformat"/>
        <w:jc w:val="both"/>
        <w:rPr>
          <w:rFonts w:ascii="PT Astra Serif" w:hAnsi="PT Astra Serif" w:cs="Times New Roman"/>
          <w:sz w:val="16"/>
          <w:szCs w:val="16"/>
        </w:rPr>
      </w:pPr>
      <w:bookmarkStart w:id="6" w:name="P647"/>
      <w:bookmarkEnd w:id="6"/>
      <w:r>
        <w:rPr>
          <w:rFonts w:cs="Times New Roman" w:ascii="PT Astra Serif" w:hAnsi="PT Astra Serif"/>
          <w:sz w:val="16"/>
          <w:szCs w:val="16"/>
        </w:rPr>
        <w:t xml:space="preserve">  </w:t>
      </w:r>
      <w:r>
        <w:rPr>
          <w:rFonts w:cs="Times New Roman" w:ascii="PT Astra Serif" w:hAnsi="PT Astra Serif"/>
          <w:sz w:val="16"/>
          <w:szCs w:val="16"/>
        </w:rPr>
        <w:t xml:space="preserve">&lt;1&gt; Рассчитывается по формуле: </w:t>
      </w:r>
      <w:r>
        <w:fldChar w:fldCharType="begin"/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instrText> HYPERLINK "../../../../../../../C:/Users/User/Downloads/%D0%BF%D1%80%D0%B8%D0%BB%D0%BE%D0%B6%20%E2%84%961.docx" \l "P622"</w:instrText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fldChar w:fldCharType="separate"/>
      </w:r>
      <w:r>
        <w:rPr>
          <w:rFonts w:cs="Times New Roman" w:ascii="PT Astra Serif" w:hAnsi="PT Astra Serif"/>
          <w:color w:val="0000FF"/>
          <w:sz w:val="16"/>
          <w:szCs w:val="16"/>
          <w:u w:val="none"/>
        </w:rPr>
        <w:t>гр. 8</w:t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fldChar w:fldCharType="end"/>
      </w:r>
      <w:r>
        <w:rPr>
          <w:rFonts w:cs="Times New Roman" w:ascii="PT Astra Serif" w:hAnsi="PT Astra Serif"/>
          <w:sz w:val="16"/>
          <w:szCs w:val="16"/>
        </w:rPr>
        <w:t xml:space="preserve"> = 100 - (</w:t>
      </w:r>
      <w:r>
        <w:fldChar w:fldCharType="begin"/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instrText> HYPERLINK "../../../../../../../C:/Users/User/Downloads/%D0%BF%D1%80%D0%B8%D0%BB%D0%BE%D0%B6%20%E2%84%961.docx" \l "P621"</w:instrText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fldChar w:fldCharType="separate"/>
      </w:r>
      <w:r>
        <w:rPr>
          <w:rFonts w:cs="Times New Roman" w:ascii="PT Astra Serif" w:hAnsi="PT Astra Serif"/>
          <w:color w:val="0000FF"/>
          <w:sz w:val="16"/>
          <w:szCs w:val="16"/>
          <w:u w:val="none"/>
        </w:rPr>
        <w:t>гр. 7</w:t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fldChar w:fldCharType="end"/>
      </w:r>
      <w:r>
        <w:rPr>
          <w:rFonts w:cs="Times New Roman" w:ascii="PT Astra Serif" w:hAnsi="PT Astra Serif"/>
          <w:sz w:val="16"/>
          <w:szCs w:val="16"/>
        </w:rPr>
        <w:t xml:space="preserve"> / </w:t>
      </w:r>
      <w:r>
        <w:fldChar w:fldCharType="begin"/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instrText> HYPERLINK "../../../../../../../C:/Users/User/Downloads/%D0%BF%D1%80%D0%B8%D0%BB%D0%BE%D0%B6%20%E2%84%961.docx" \l "P620"</w:instrText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fldChar w:fldCharType="separate"/>
      </w:r>
      <w:r>
        <w:rPr>
          <w:rFonts w:cs="Times New Roman" w:ascii="PT Astra Serif" w:hAnsi="PT Astra Serif"/>
          <w:color w:val="0000FF"/>
          <w:sz w:val="16"/>
          <w:szCs w:val="16"/>
          <w:u w:val="none"/>
        </w:rPr>
        <w:t>гр. 6</w:t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fldChar w:fldCharType="end"/>
      </w:r>
      <w:r>
        <w:rPr>
          <w:rFonts w:cs="Times New Roman" w:ascii="PT Astra Serif" w:hAnsi="PT Astra Serif"/>
          <w:sz w:val="16"/>
          <w:szCs w:val="16"/>
        </w:rPr>
        <w:t xml:space="preserve"> x 100).</w:t>
      </w:r>
    </w:p>
    <w:p>
      <w:pPr>
        <w:pStyle w:val="ConsPlusNonformat"/>
        <w:jc w:val="both"/>
        <w:rPr>
          <w:rFonts w:ascii="PT Astra Serif" w:hAnsi="PT Astra Serif" w:cs="Times New Roman"/>
          <w:sz w:val="16"/>
          <w:szCs w:val="16"/>
        </w:rPr>
      </w:pPr>
      <w:bookmarkStart w:id="7" w:name="P648"/>
      <w:bookmarkEnd w:id="7"/>
      <w:r>
        <w:rPr>
          <w:rFonts w:cs="Times New Roman" w:ascii="PT Astra Serif" w:hAnsi="PT Astra Serif"/>
          <w:sz w:val="16"/>
          <w:szCs w:val="16"/>
        </w:rPr>
        <w:t xml:space="preserve">    </w:t>
      </w:r>
      <w:r>
        <w:rPr>
          <w:rFonts w:cs="Times New Roman" w:ascii="PT Astra Serif" w:hAnsi="PT Astra Serif"/>
          <w:sz w:val="16"/>
          <w:szCs w:val="16"/>
        </w:rPr>
        <w:t>&lt;2&gt;   Отклонение,   при   котором   государственное  задание  считается</w:t>
      </w:r>
    </w:p>
    <w:p>
      <w:pPr>
        <w:pStyle w:val="ConsPlusNonformat"/>
        <w:jc w:val="both"/>
        <w:rPr>
          <w:rFonts w:ascii="PT Astra Serif" w:hAnsi="PT Astra Serif" w:cs="Times New Roman"/>
          <w:sz w:val="16"/>
          <w:szCs w:val="16"/>
        </w:rPr>
      </w:pPr>
      <w:r>
        <w:rPr>
          <w:rFonts w:cs="Times New Roman" w:ascii="PT Astra Serif" w:hAnsi="PT Astra Serif"/>
          <w:sz w:val="16"/>
          <w:szCs w:val="16"/>
        </w:rPr>
        <w:t>выполненным (устанавливается в соответствующем государственном задании).</w:t>
      </w:r>
    </w:p>
    <w:p>
      <w:pPr>
        <w:pStyle w:val="ConsPlusNonformat"/>
        <w:jc w:val="both"/>
        <w:rPr>
          <w:rFonts w:ascii="PT Astra Serif" w:hAnsi="PT Astra Serif" w:cs="Times New Roman"/>
          <w:sz w:val="16"/>
          <w:szCs w:val="16"/>
        </w:rPr>
      </w:pPr>
      <w:bookmarkStart w:id="8" w:name="P650"/>
      <w:bookmarkEnd w:id="8"/>
      <w:r>
        <w:rPr>
          <w:rFonts w:cs="Times New Roman" w:ascii="PT Astra Serif" w:hAnsi="PT Astra Serif"/>
          <w:sz w:val="16"/>
          <w:szCs w:val="16"/>
        </w:rPr>
        <w:t xml:space="preserve">    </w:t>
      </w:r>
      <w:r>
        <w:rPr>
          <w:rFonts w:cs="Times New Roman" w:ascii="PT Astra Serif" w:hAnsi="PT Astra Serif"/>
          <w:sz w:val="16"/>
          <w:szCs w:val="16"/>
        </w:rPr>
        <w:t>&lt;3&gt;   Причины  невыполнения  описываются  в  случае,  если  отклонение,</w:t>
      </w:r>
    </w:p>
    <w:p>
      <w:pPr>
        <w:pStyle w:val="ConsPlusNonformat"/>
        <w:jc w:val="both"/>
        <w:rPr>
          <w:rFonts w:ascii="PT Astra Serif" w:hAnsi="PT Astra Serif" w:cs="Times New Roman"/>
          <w:sz w:val="16"/>
          <w:szCs w:val="16"/>
        </w:rPr>
      </w:pPr>
      <w:r>
        <w:rPr>
          <w:rFonts w:cs="Times New Roman" w:ascii="PT Astra Serif" w:hAnsi="PT Astra Serif"/>
          <w:sz w:val="16"/>
          <w:szCs w:val="16"/>
        </w:rPr>
        <w:t xml:space="preserve">указанное  в </w:t>
      </w:r>
      <w:r>
        <w:fldChar w:fldCharType="begin"/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instrText> HYPERLINK "../../../../../../../C:/Users/User/Downloads/%D0%BF%D1%80%D0%B8%D0%BB%D0%BE%D0%B6%20%E2%84%961.docx" \l "P622"</w:instrText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fldChar w:fldCharType="separate"/>
      </w:r>
      <w:r>
        <w:rPr>
          <w:rFonts w:cs="Times New Roman" w:ascii="PT Astra Serif" w:hAnsi="PT Astra Serif"/>
          <w:color w:val="0000FF"/>
          <w:sz w:val="16"/>
          <w:szCs w:val="16"/>
          <w:u w:val="none"/>
        </w:rPr>
        <w:t>гр. 8</w:t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fldChar w:fldCharType="end"/>
      </w:r>
      <w:r>
        <w:rPr>
          <w:rFonts w:cs="Times New Roman" w:ascii="PT Astra Serif" w:hAnsi="PT Astra Serif"/>
          <w:sz w:val="16"/>
          <w:szCs w:val="16"/>
        </w:rPr>
        <w:t>, выше установленного допустимого (возможного) отклонения</w:t>
      </w:r>
      <w:r>
        <w:fldChar w:fldCharType="begin"/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instrText> HYPERLINK "../../../../../../../C:/Users/User/Downloads/%D0%BF%D1%80%D0%B8%D0%BB%D0%BE%D0%B6%20%E2%84%961.docx" \l "P623"</w:instrText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fldChar w:fldCharType="separate"/>
      </w:r>
      <w:r>
        <w:rPr>
          <w:rFonts w:cs="Times New Roman" w:ascii="PT Astra Serif" w:hAnsi="PT Astra Serif"/>
          <w:color w:val="0000FF"/>
          <w:sz w:val="16"/>
          <w:szCs w:val="16"/>
          <w:u w:val="none"/>
        </w:rPr>
        <w:t>(гр. 9)</w:t>
      </w:r>
      <w:r>
        <w:rPr>
          <w:sz w:val="16"/>
          <w:u w:val="none"/>
          <w:szCs w:val="16"/>
          <w:rFonts w:cs="Times New Roman" w:ascii="PT Astra Serif" w:hAnsi="PT Astra Serif"/>
          <w:color w:val="0000FF"/>
        </w:rPr>
        <w:fldChar w:fldCharType="end"/>
      </w:r>
      <w:r>
        <w:rPr>
          <w:rFonts w:cs="Times New Roman" w:ascii="PT Astra Serif" w:hAnsi="PT Astra Serif"/>
          <w:sz w:val="16"/>
          <w:szCs w:val="16"/>
        </w:rPr>
        <w:t>.</w:t>
      </w:r>
    </w:p>
    <w:p>
      <w:pPr>
        <w:pStyle w:val="ConsPlusNonformat"/>
        <w:ind w:right="-739" w:hanging="0"/>
        <w:jc w:val="both"/>
        <w:rPr>
          <w:rFonts w:ascii="PT Astra Serif" w:hAnsi="PT Astra Serif" w:cs="Times New Roman"/>
          <w:sz w:val="16"/>
          <w:szCs w:val="16"/>
        </w:rPr>
      </w:pPr>
      <w:bookmarkStart w:id="9" w:name="P653"/>
      <w:bookmarkEnd w:id="9"/>
      <w:r>
        <w:rPr>
          <w:rFonts w:cs="Times New Roman" w:ascii="PT Astra Serif" w:hAnsi="PT Astra Serif"/>
          <w:sz w:val="16"/>
          <w:szCs w:val="16"/>
        </w:rPr>
        <w:t xml:space="preserve">    </w:t>
      </w:r>
      <w:r>
        <w:rPr>
          <w:rFonts w:cs="Times New Roman" w:ascii="PT Astra Serif" w:hAnsi="PT Astra Serif"/>
          <w:sz w:val="16"/>
          <w:szCs w:val="16"/>
        </w:rPr>
        <w:t>&lt;4&gt;  Заполняется  при  наличии  в  государственном  задании показателей качества для работы.</w:t>
      </w:r>
    </w:p>
    <w:sectPr>
      <w:headerReference w:type="default" r:id="rId4"/>
      <w:type w:val="nextPage"/>
      <w:pgSz w:orient="landscape" w:w="16838" w:h="11906"/>
      <w:pgMar w:left="1134" w:right="851" w:header="708" w:top="851" w:footer="0" w:bottom="850" w:gutter="0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  <w:font w:name="Calibri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/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embedSystemFonts/>
  <w:defaultTabStop w:val="327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semiHidden="0" w:unhideWhenUsed="0" w:qFormat="1"/>
    <w:lsdException w:name="heading 4" w:uiPriority="9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both"/>
    </w:pPr>
    <w:rPr>
      <w:rFonts w:eastAsia="Lucida Sans Unicode" w:cs="Mangal" w:ascii="Times New Roman" w:hAnsi="Times New Roman"/>
      <w:color w:val="auto"/>
      <w:kern w:val="2"/>
      <w:sz w:val="28"/>
      <w:szCs w:val="24"/>
      <w:lang w:eastAsia="zh-CN" w:bidi="hi-IN" w:val="ru-RU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rPr>
      <w:color w:val="000080"/>
      <w:u w:val="single"/>
    </w:rPr>
  </w:style>
  <w:style w:type="character" w:styleId="Style13" w:customStyle="1">
    <w:name w:val="Текст выноски Знак"/>
    <w:basedOn w:val="DefaultParagraphFont"/>
    <w:link w:val="afa"/>
    <w:uiPriority w:val="99"/>
    <w:semiHidden/>
    <w:qFormat/>
    <w:rsid w:val="006c58b3"/>
    <w:rPr>
      <w:rFonts w:ascii="Tahoma" w:hAnsi="Tahoma" w:eastAsia="Lucida Sans Unicode" w:cs="Mangal"/>
      <w:kern w:val="2"/>
      <w:sz w:val="16"/>
      <w:szCs w:val="14"/>
      <w:lang w:eastAsia="zh-CN" w:bidi="hi-IN"/>
    </w:rPr>
  </w:style>
  <w:style w:type="character" w:styleId="Style14" w:customStyle="1">
    <w:name w:val="Нижний колонтитул Знак"/>
    <w:basedOn w:val="DefaultParagraphFont"/>
    <w:link w:val="afd"/>
    <w:uiPriority w:val="99"/>
    <w:qFormat/>
    <w:rsid w:val="00db4447"/>
    <w:rPr>
      <w:rFonts w:eastAsia="Lucida Sans Unicode" w:cs="Mangal"/>
      <w:kern w:val="2"/>
      <w:sz w:val="28"/>
      <w:szCs w:val="24"/>
      <w:lang w:eastAsia="zh-CN" w:bidi="hi-I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Cs w:val="28"/>
    </w:rPr>
  </w:style>
  <w:style w:type="paragraph" w:styleId="Style16">
    <w:name w:val="Body Text"/>
    <w:basedOn w:val="Normal"/>
    <w:pPr/>
    <w:rPr/>
  </w:style>
  <w:style w:type="paragraph" w:styleId="Style17">
    <w:name w:val="List"/>
    <w:basedOn w:val="Style16"/>
    <w:pPr/>
    <w:rPr>
      <w:rFonts w:ascii="Arial" w:hAnsi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Arial" w:hAnsi="Arial"/>
      <w:szCs w:val="28"/>
    </w:rPr>
  </w:style>
  <w:style w:type="paragraph" w:styleId="Style21">
    <w:name w:val="Subtitle"/>
    <w:basedOn w:val="Style20"/>
    <w:next w:val="Style16"/>
    <w:qFormat/>
    <w:pPr>
      <w:jc w:val="center"/>
    </w:pPr>
    <w:rPr>
      <w:i/>
      <w:iCs/>
    </w:rPr>
  </w:style>
  <w:style w:type="paragraph" w:styleId="Caption">
    <w:name w:val="caption"/>
    <w:basedOn w:val="Normal"/>
    <w:qFormat/>
    <w:pPr>
      <w:suppressLineNumbers/>
      <w:spacing w:before="0" w:after="119"/>
    </w:pPr>
    <w:rPr>
      <w:iCs/>
    </w:rPr>
  </w:style>
  <w:style w:type="paragraph" w:styleId="1" w:customStyle="1">
    <w:name w:val="Указатель1"/>
    <w:basedOn w:val="Normal"/>
    <w:qFormat/>
    <w:pPr>
      <w:suppressLineNumbers/>
    </w:pPr>
    <w:rPr>
      <w:rFonts w:ascii="Arial" w:hAnsi="Arial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pPr>
      <w:suppressLineNumbers/>
      <w:tabs>
        <w:tab w:val="clear" w:pos="327"/>
        <w:tab w:val="center" w:pos="5102" w:leader="none"/>
        <w:tab w:val="right" w:pos="10205" w:leader="none"/>
      </w:tabs>
    </w:pPr>
    <w:rPr/>
  </w:style>
  <w:style w:type="paragraph" w:styleId="Style24" w:customStyle="1">
    <w:name w:val="Верхний колонтитул справа"/>
    <w:basedOn w:val="Normal"/>
    <w:qFormat/>
    <w:pPr>
      <w:suppressLineNumbers/>
      <w:tabs>
        <w:tab w:val="clear" w:pos="327"/>
        <w:tab w:val="center" w:pos="5102" w:leader="none"/>
        <w:tab w:val="right" w:pos="10205" w:leader="none"/>
      </w:tabs>
    </w:pPr>
    <w:rPr/>
  </w:style>
  <w:style w:type="paragraph" w:styleId="Style25" w:customStyle="1">
    <w:name w:val="Верхний колонтитул слева"/>
    <w:basedOn w:val="Normal"/>
    <w:qFormat/>
    <w:pPr>
      <w:suppressLineNumbers/>
      <w:tabs>
        <w:tab w:val="clear" w:pos="327"/>
        <w:tab w:val="center" w:pos="5102" w:leader="none"/>
        <w:tab w:val="right" w:pos="10205" w:leader="none"/>
      </w:tabs>
    </w:pPr>
    <w:rPr/>
  </w:style>
  <w:style w:type="paragraph" w:styleId="Style26" w:customStyle="1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27">
    <w:name w:val="Body Text Indent"/>
    <w:basedOn w:val="Style16"/>
    <w:pPr>
      <w:ind w:left="283" w:hanging="0"/>
    </w:pPr>
    <w:rPr/>
  </w:style>
  <w:style w:type="paragraph" w:styleId="BodyTextIndent">
    <w:name w:val="Body Text Indent"/>
    <w:basedOn w:val="Style16"/>
    <w:qFormat/>
    <w:pPr>
      <w:ind w:firstLine="709"/>
    </w:pPr>
    <w:rPr/>
  </w:style>
  <w:style w:type="paragraph" w:styleId="Style28" w:customStyle="1">
    <w:name w:val="Таблица"/>
    <w:basedOn w:val="Caption"/>
    <w:qFormat/>
    <w:pPr/>
    <w:rPr/>
  </w:style>
  <w:style w:type="paragraph" w:styleId="11" w:customStyle="1">
    <w:name w:val="Текст1"/>
    <w:basedOn w:val="Caption"/>
    <w:qFormat/>
    <w:pPr/>
    <w:rPr/>
  </w:style>
  <w:style w:type="paragraph" w:styleId="Style29" w:customStyle="1">
    <w:name w:val="Содержимое таблицы"/>
    <w:basedOn w:val="Normal"/>
    <w:qFormat/>
    <w:pPr>
      <w:suppressLineNumbers/>
    </w:pPr>
    <w:rPr/>
  </w:style>
  <w:style w:type="paragraph" w:styleId="Style30" w:customStyle="1">
    <w:name w:val="Текст шапки"/>
    <w:basedOn w:val="Style16"/>
    <w:qFormat/>
    <w:pPr>
      <w:jc w:val="center"/>
    </w:pPr>
    <w:rPr>
      <w:b/>
      <w:bCs/>
      <w:sz w:val="30"/>
      <w:szCs w:val="30"/>
    </w:rPr>
  </w:style>
  <w:style w:type="paragraph" w:styleId="Style31" w:customStyle="1">
    <w:name w:val="Подпись_дол+ФИО"/>
    <w:basedOn w:val="Style16"/>
    <w:next w:val="BodyTextIndent"/>
    <w:qFormat/>
    <w:pPr>
      <w:tabs>
        <w:tab w:val="clear" w:pos="327"/>
        <w:tab w:val="right" w:pos="10035" w:leader="none"/>
      </w:tabs>
      <w:jc w:val="left"/>
    </w:pPr>
    <w:rPr/>
  </w:style>
  <w:style w:type="paragraph" w:styleId="Style32" w:customStyle="1">
    <w:name w:val="Содержимое врезки"/>
    <w:basedOn w:val="Style16"/>
    <w:qFormat/>
    <w:pPr/>
    <w:rPr/>
  </w:style>
  <w:style w:type="paragraph" w:styleId="Style33">
    <w:name w:val="Signature"/>
    <w:basedOn w:val="Style16"/>
    <w:pPr>
      <w:suppressLineNumbers/>
    </w:pPr>
    <w:rPr/>
  </w:style>
  <w:style w:type="paragraph" w:styleId="Style34" w:customStyle="1">
    <w:name w:val="ПодписьСогл_дол+ФИО"/>
    <w:basedOn w:val="Style31"/>
    <w:qFormat/>
    <w:pPr/>
    <w:rPr>
      <w:sz w:val="24"/>
    </w:rPr>
  </w:style>
  <w:style w:type="paragraph" w:styleId="Style35" w:customStyle="1">
    <w:name w:val="Текст в заданном формате"/>
    <w:basedOn w:val="Normal"/>
    <w:qFormat/>
    <w:pPr/>
    <w:rPr>
      <w:rFonts w:ascii="Courier New" w:hAnsi="Courier New" w:eastAsia="Courier New" w:cs="Courier New"/>
      <w:sz w:val="20"/>
      <w:szCs w:val="20"/>
    </w:rPr>
  </w:style>
  <w:style w:type="paragraph" w:styleId="Style36" w:customStyle="1">
    <w:name w:val="Заголовок таблицы"/>
    <w:basedOn w:val="Style29"/>
    <w:qFormat/>
    <w:pPr/>
    <w:rPr/>
  </w:style>
  <w:style w:type="paragraph" w:styleId="Western" w:customStyle="1">
    <w:name w:val="подписьсогл-дол+фио-western"/>
    <w:basedOn w:val="Normal"/>
    <w:qFormat/>
    <w:rsid w:val="00ad1e1a"/>
    <w:pPr>
      <w:widowControl/>
      <w:suppressAutoHyphens w:val="false"/>
      <w:spacing w:beforeAutospacing="1" w:after="0"/>
    </w:pPr>
    <w:rPr>
      <w:rFonts w:eastAsia="Times New Roman" w:cs="Times New Roman"/>
      <w:kern w:val="0"/>
      <w:sz w:val="24"/>
      <w:lang w:eastAsia="ru-RU" w:bidi="ar-SA"/>
    </w:rPr>
  </w:style>
  <w:style w:type="paragraph" w:styleId="BalloonText">
    <w:name w:val="Balloon Text"/>
    <w:basedOn w:val="Normal"/>
    <w:link w:val="afb"/>
    <w:uiPriority w:val="99"/>
    <w:semiHidden/>
    <w:unhideWhenUsed/>
    <w:qFormat/>
    <w:rsid w:val="006c58b3"/>
    <w:pPr/>
    <w:rPr>
      <w:rFonts w:ascii="Tahoma" w:hAnsi="Tahoma"/>
      <w:sz w:val="16"/>
      <w:szCs w:val="14"/>
    </w:rPr>
  </w:style>
  <w:style w:type="paragraph" w:styleId="ListParagraph">
    <w:name w:val="List Paragraph"/>
    <w:basedOn w:val="Normal"/>
    <w:uiPriority w:val="34"/>
    <w:qFormat/>
    <w:rsid w:val="00af24ea"/>
    <w:pPr>
      <w:spacing w:before="0" w:after="0"/>
      <w:ind w:left="720" w:hanging="0"/>
      <w:contextualSpacing/>
    </w:pPr>
    <w:rPr/>
  </w:style>
  <w:style w:type="paragraph" w:styleId="Style37">
    <w:name w:val="Footer"/>
    <w:basedOn w:val="Normal"/>
    <w:link w:val="afe"/>
    <w:uiPriority w:val="99"/>
    <w:unhideWhenUsed/>
    <w:rsid w:val="00db4447"/>
    <w:pPr>
      <w:tabs>
        <w:tab w:val="clear" w:pos="327"/>
        <w:tab w:val="center" w:pos="4677" w:leader="none"/>
        <w:tab w:val="right" w:pos="9355" w:leader="none"/>
      </w:tabs>
    </w:pPr>
    <w:rPr/>
  </w:style>
  <w:style w:type="paragraph" w:styleId="ConsPlusDocList" w:customStyle="1">
    <w:name w:val="ConsPlusDocList"/>
    <w:next w:val="Normal"/>
    <w:qFormat/>
    <w:rsid w:val="001d3aa4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2"/>
      <w:sz w:val="28"/>
      <w:szCs w:val="20"/>
      <w:lang w:eastAsia="hi-IN" w:bidi="hi-IN" w:val="ru-RU"/>
    </w:rPr>
  </w:style>
  <w:style w:type="paragraph" w:styleId="ConsPlusNormal" w:customStyle="1">
    <w:name w:val="ConsPlusNormal"/>
    <w:qFormat/>
    <w:rsid w:val="00612d73"/>
    <w:pPr>
      <w:widowControl w:val="false"/>
      <w:bidi w:val="0"/>
      <w:spacing w:before="0" w:after="0"/>
      <w:jc w:val="left"/>
    </w:pPr>
    <w:rPr>
      <w:rFonts w:ascii="Calibri" w:hAnsi="Calibri" w:cs="Calibri" w:eastAsia="Times New Roman"/>
      <w:color w:val="auto"/>
      <w:kern w:val="0"/>
      <w:sz w:val="22"/>
      <w:szCs w:val="20"/>
      <w:lang w:val="ru-RU" w:eastAsia="ru-RU" w:bidi="ar-SA"/>
    </w:rPr>
  </w:style>
  <w:style w:type="paragraph" w:styleId="ConsPlusNonformat" w:customStyle="1">
    <w:name w:val="ConsPlusNonformat"/>
    <w:qFormat/>
    <w:rsid w:val="00612d73"/>
    <w:pPr>
      <w:widowControl w:val="false"/>
      <w:bidi w:val="0"/>
      <w:spacing w:before="0" w:after="0"/>
      <w:jc w:val="left"/>
    </w:pPr>
    <w:rPr>
      <w:rFonts w:ascii="Courier New" w:hAnsi="Courier New" w:cs="Courier New" w:eastAsia="Times New Roman"/>
      <w:color w:val="auto"/>
      <w:kern w:val="0"/>
      <w:sz w:val="28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8c46bb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C46EF-4B60-409A-8819-B16FDEB87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Application>LibreOffice/6.4.7.2$Linux_X86_64 LibreOffice_project/40$Build-2</Application>
  <Pages>9</Pages>
  <Words>1755</Words>
  <Characters>13813</Characters>
  <CharactersWithSpaces>15582</CharactersWithSpaces>
  <Paragraphs>151</Paragraphs>
  <Company>КонсультантПлюс Версия 4016.00.12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2021-06-04T08:06:00Z</dcterms:created>
  <dc:creator>IvanovaNV</dc:creator>
  <dc:description/>
  <dc:language>ru-RU</dc:language>
  <cp:lastModifiedBy/>
  <cp:lastPrinted>2023-02-15T09:54:00Z</cp:lastPrinted>
  <dcterms:modified xsi:type="dcterms:W3CDTF">2024-03-22T15:38:57Z</dcterms:modified>
  <cp:revision>12</cp:revision>
  <dc:subject/>
  <dc:title>Постановление Администрации Томской области от 05.06.2014 N 213а(ред. от 12.01.2016)"Об утверждении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КонсультантПлюс Версия 4016.00.12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