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header2.xml" ContentType="application/vnd.openxmlformats-officedocument.wordprocessingml.head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31"/>
        <w:rPr/>
      </w:pPr>
      <w:r>
        <w:rPr/>
        <w:t>ДЕПАРТАМЕНТ ВЕТЕРИНАРИИ</w:t>
        <w:br/>
        <w:t>ТОМСКОЙ ОБЛАСТИ</w:t>
        <w:br/>
        <w:br/>
        <w:t>П Р И К А З</w:t>
      </w:r>
    </w:p>
    <w:p>
      <w:pPr>
        <w:pStyle w:val="Normal"/>
        <w:tabs>
          <w:tab w:val="clear" w:pos="720"/>
          <w:tab w:val="right" w:pos="9930" w:leader="none"/>
        </w:tabs>
        <w:rPr/>
      </w:pPr>
      <w:r>
        <w:rPr/>
      </w:r>
    </w:p>
    <w:p>
      <w:pPr>
        <w:pStyle w:val="Normal"/>
        <w:tabs>
          <w:tab w:val="clear" w:pos="720"/>
          <w:tab w:val="right" w:pos="9930" w:leader="none"/>
        </w:tabs>
        <w:rPr/>
      </w:pPr>
      <w:r>
        <w:rPr/>
      </w:r>
    </w:p>
    <w:tbl>
      <w:tblPr>
        <w:tblW w:w="10185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noVBand="0" w:noHBand="0" w:lastColumn="0" w:firstColumn="0" w:lastRow="0" w:firstRow="0"/>
      </w:tblPr>
      <w:tblGrid>
        <w:gridCol w:w="2804"/>
        <w:gridCol w:w="5296"/>
        <w:gridCol w:w="419"/>
        <w:gridCol w:w="1501"/>
        <w:gridCol w:w="165"/>
      </w:tblGrid>
      <w:tr>
        <w:trPr/>
        <w:tc>
          <w:tcPr>
            <w:tcW w:w="2804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Style30"/>
              <w:jc w:val="center"/>
              <w:rPr/>
            </w:pPr>
            <w:r>
              <w:rPr/>
              <w:t>22.04.2019</w:t>
            </w:r>
          </w:p>
        </w:tc>
        <w:tc>
          <w:tcPr>
            <w:tcW w:w="5296" w:type="dxa"/>
            <w:tcBorders/>
            <w:shd w:color="auto" w:fill="auto" w:val="clear"/>
          </w:tcPr>
          <w:p>
            <w:pPr>
              <w:pStyle w:val="Style30"/>
              <w:rPr/>
            </w:pPr>
            <w:r>
              <w:rPr/>
            </w:r>
          </w:p>
        </w:tc>
        <w:tc>
          <w:tcPr>
            <w:tcW w:w="419" w:type="dxa"/>
            <w:tcBorders/>
            <w:shd w:color="auto" w:fill="auto" w:val="clear"/>
          </w:tcPr>
          <w:p>
            <w:pPr>
              <w:pStyle w:val="Normal"/>
              <w:tabs>
                <w:tab w:val="clear" w:pos="720"/>
                <w:tab w:val="right" w:pos="9930" w:leader="none"/>
              </w:tabs>
              <w:rPr/>
            </w:pPr>
            <w:r>
              <w:rPr/>
              <w:t>№</w:t>
            </w:r>
          </w:p>
        </w:tc>
        <w:tc>
          <w:tcPr>
            <w:tcW w:w="1501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Style30"/>
              <w:rPr/>
            </w:pPr>
            <w:r>
              <w:rPr/>
              <w:t>54</w:t>
            </w:r>
          </w:p>
        </w:tc>
        <w:tc>
          <w:tcPr>
            <w:tcW w:w="165" w:type="dxa"/>
            <w:tcBorders/>
            <w:shd w:color="auto" w:fill="auto" w:val="clear"/>
          </w:tcPr>
          <w:p>
            <w:pPr>
              <w:pStyle w:val="Style30"/>
              <w:rPr/>
            </w:pPr>
            <w:r>
              <w:rPr/>
            </w:r>
          </w:p>
        </w:tc>
      </w:tr>
      <w:tr>
        <w:trPr>
          <w:trHeight w:val="888" w:hRule="atLeast"/>
        </w:trPr>
        <w:tc>
          <w:tcPr>
            <w:tcW w:w="10185" w:type="dxa"/>
            <w:gridSpan w:val="5"/>
            <w:tcBorders/>
            <w:shd w:color="auto" w:fill="auto" w:val="clear"/>
          </w:tcPr>
          <w:p>
            <w:pPr>
              <w:pStyle w:val="Style3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185" w:type="dxa"/>
            <w:gridSpan w:val="5"/>
            <w:tcBorders/>
            <w:shd w:color="auto" w:fill="auto" w:val="clear"/>
          </w:tcPr>
          <w:p>
            <w:pPr>
              <w:pStyle w:val="Style30"/>
              <w:jc w:val="center"/>
              <w:rPr/>
            </w:pPr>
            <w:r>
              <w:rPr/>
              <w:t xml:space="preserve">Об утверждении методик прогнозирования поступлений доходов в областной и муниципальные бюджеты, </w:t>
            </w:r>
            <w:r>
              <w:rPr>
                <w:rFonts w:ascii="Times New Roman;serif" w:hAnsi="Times New Roman;serif"/>
              </w:rPr>
              <w:t>главным администратором которых является Департамент ветеринарии Томской области</w:t>
            </w:r>
          </w:p>
        </w:tc>
      </w:tr>
    </w:tbl>
    <w:p>
      <w:pPr>
        <w:pStyle w:val="Normal"/>
        <w:rPr/>
      </w:pPr>
      <w:r>
        <w:rPr/>
      </w:r>
    </w:p>
    <w:p>
      <w:pPr>
        <w:pStyle w:val="Style28"/>
        <w:rPr/>
      </w:pPr>
      <w:r>
        <w:rPr/>
        <w:t>Руководствуясь статьей 160.1. Бюджетного кодекса Российской Федерации, статьей 12 Закона Томской области от 09.12.2005г № 231-ОЗ «О бюджетном процессе в Томской области»,</w:t>
      </w:r>
      <w:r>
        <w:rPr>
          <w:rFonts w:ascii="Times New Roman;serif" w:hAnsi="Times New Roman;serif"/>
          <w:sz w:val="26"/>
        </w:rPr>
        <w:t xml:space="preserve"> </w:t>
      </w:r>
      <w:r>
        <w:rPr/>
        <w:t xml:space="preserve">распоряжением Губернатора Томской области от 26.08.2016 № 218-р «О сроке и порядке разработки и утверждения методик прогнозирования поступлений доходов в областной и (или) местные бюджеты» </w:t>
      </w:r>
    </w:p>
    <w:p>
      <w:pPr>
        <w:pStyle w:val="Style28"/>
        <w:rPr/>
      </w:pPr>
      <w:r>
        <w:rPr/>
      </w:r>
    </w:p>
    <w:p>
      <w:pPr>
        <w:pStyle w:val="Style28"/>
        <w:rPr/>
      </w:pPr>
      <w:r>
        <w:rPr>
          <w:szCs w:val="28"/>
        </w:rPr>
        <w:t>ПРИКАЗЫВАЮ</w:t>
      </w:r>
      <w:r>
        <w:rPr/>
        <w:t>:</w:t>
      </w:r>
    </w:p>
    <w:p>
      <w:pPr>
        <w:pStyle w:val="Style28"/>
        <w:numPr>
          <w:ilvl w:val="0"/>
          <w:numId w:val="2"/>
        </w:numPr>
        <w:ind w:left="-15" w:firstLine="840"/>
        <w:rPr/>
      </w:pPr>
      <w:r>
        <w:rPr/>
        <w:t>Утвердить прилагаемые методики прогнозирования поступлений доходов в областной и муниципальные бюджеты, главным администратором которых является Департамент ветеринарии Томской области.</w:t>
      </w:r>
    </w:p>
    <w:p>
      <w:pPr>
        <w:pStyle w:val="Western"/>
        <w:numPr>
          <w:ilvl w:val="0"/>
          <w:numId w:val="2"/>
        </w:numPr>
        <w:spacing w:before="280" w:after="0"/>
        <w:ind w:left="-17" w:firstLine="839"/>
        <w:rPr/>
      </w:pPr>
      <w:r>
        <w:rPr/>
        <w:t>Признать утратившим силу приказ Управления ветеринарии Томской области от 30.08.2016 № 1</w:t>
      </w:r>
      <w:bookmarkStart w:id="0" w:name="_GoBack"/>
      <w:bookmarkEnd w:id="0"/>
      <w:r>
        <w:rPr/>
        <w:t>31 «Об утверждении методик прогнозирования поступления доходов в областной и муниципальные бюджеты, главным администратором которых является Управление ветеринарии Томской области».</w:t>
      </w:r>
    </w:p>
    <w:p>
      <w:pPr>
        <w:pStyle w:val="Style28"/>
        <w:numPr>
          <w:ilvl w:val="0"/>
          <w:numId w:val="2"/>
        </w:numPr>
        <w:ind w:left="-15" w:firstLine="840"/>
        <w:rPr/>
      </w:pPr>
      <w:r>
        <w:rPr/>
        <w:t>Комитету правового и информационно-аналитического обеспечения Департамента ветеринарии Томской области разместить настоящий приказ на официальном сайте Департамента ветеринарии Томской области (</w:t>
      </w:r>
      <w:hyperlink r:id="rId2">
        <w:r>
          <w:rPr/>
          <w:t>https://gosvet.tomsk.gov.ru/</w:t>
        </w:r>
      </w:hyperlink>
      <w:r>
        <w:rPr/>
        <w:t>).</w:t>
      </w:r>
    </w:p>
    <w:p>
      <w:pPr>
        <w:pStyle w:val="Style28"/>
        <w:numPr>
          <w:ilvl w:val="0"/>
          <w:numId w:val="2"/>
        </w:numPr>
        <w:ind w:left="-15" w:firstLine="840"/>
        <w:rPr/>
      </w:pPr>
      <w:r>
        <w:rPr/>
        <w:t>Контроль за исполнением приказа оставляю за собой.</w:t>
      </w:r>
    </w:p>
    <w:p>
      <w:pPr>
        <w:pStyle w:val="Style28"/>
        <w:ind w:left="-15" w:firstLine="840"/>
        <w:rPr/>
      </w:pPr>
      <w:r>
        <w:rPr/>
      </w:r>
    </w:p>
    <w:p>
      <w:pPr>
        <w:pStyle w:val="Style28"/>
        <w:rPr/>
      </w:pPr>
      <w:r>
        <w:rPr/>
      </w:r>
    </w:p>
    <w:p>
      <w:pPr>
        <w:pStyle w:val="Style28"/>
        <w:rPr/>
      </w:pPr>
      <w:r>
        <w:rPr/>
      </w:r>
    </w:p>
    <w:p>
      <w:pPr>
        <w:pStyle w:val="Style28"/>
        <w:rPr/>
      </w:pPr>
      <w:r>
        <w:rPr/>
      </w:r>
    </w:p>
    <w:p>
      <w:pPr>
        <w:pStyle w:val="Style32"/>
        <w:rPr/>
      </w:pPr>
      <w:r>
        <w:rPr/>
        <w:t>И.о.начальника департамента</w:t>
        <w:tab/>
        <w:t xml:space="preserve">Е.В.Гынгазова </w:t>
      </w:r>
    </w:p>
    <w:p>
      <w:pPr>
        <w:pStyle w:val="Style35"/>
        <w:jc w:val="right"/>
        <w:rPr>
          <w:szCs w:val="28"/>
        </w:rPr>
      </w:pPr>
      <w:r>
        <w:rPr>
          <w:szCs w:val="28"/>
        </w:rPr>
      </w:r>
    </w:p>
    <w:p>
      <w:pPr>
        <w:pStyle w:val="Normal"/>
        <w:widowControl/>
        <w:jc w:val="left"/>
        <w:rPr>
          <w:szCs w:val="28"/>
        </w:rPr>
      </w:pPr>
      <w:r>
        <w:rPr>
          <w:szCs w:val="28"/>
        </w:rPr>
      </w:r>
    </w:p>
    <w:p>
      <w:pPr>
        <w:pStyle w:val="Style35"/>
        <w:jc w:val="right"/>
        <w:rPr>
          <w:sz w:val="28"/>
          <w:szCs w:val="28"/>
        </w:rPr>
      </w:pPr>
      <w:r>
        <w:rPr/>
      </w:r>
      <w:r>
        <w:br w:type="page"/>
      </w:r>
    </w:p>
    <w:p>
      <w:pPr>
        <w:pStyle w:val="Style35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к приказу</w:t>
      </w:r>
    </w:p>
    <w:p>
      <w:pPr>
        <w:pStyle w:val="Style35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Департамента ветеринарии Томской области</w:t>
      </w:r>
    </w:p>
    <w:p>
      <w:pPr>
        <w:pStyle w:val="Style35"/>
        <w:jc w:val="right"/>
        <w:rPr>
          <w:sz w:val="28"/>
          <w:szCs w:val="28"/>
        </w:rPr>
      </w:pPr>
      <w:r>
        <w:rPr>
          <w:sz w:val="28"/>
          <w:szCs w:val="28"/>
        </w:rPr>
        <w:t>от ________________ № _____________</w:t>
      </w:r>
    </w:p>
    <w:p>
      <w:pPr>
        <w:pStyle w:val="Style35"/>
        <w:jc w:val="right"/>
        <w:rPr/>
      </w:pPr>
      <w:r>
        <w:rPr/>
      </w:r>
    </w:p>
    <w:p>
      <w:pPr>
        <w:pStyle w:val="Style28"/>
        <w:ind w:left="-15" w:firstLine="840"/>
        <w:jc w:val="center"/>
        <w:rPr/>
      </w:pPr>
      <w:r>
        <w:rPr/>
        <w:t>Методики прогнозирования поступлений доходов в областной и муниципальные бюджеты, главным администратором которых является Департамент ветеринарии Томской области</w:t>
      </w:r>
    </w:p>
    <w:p>
      <w:pPr>
        <w:pStyle w:val="Style28"/>
        <w:ind w:left="-15" w:firstLine="840"/>
        <w:jc w:val="center"/>
        <w:rPr/>
      </w:pPr>
      <w:r>
        <w:rPr/>
      </w:r>
    </w:p>
    <w:p>
      <w:pPr>
        <w:pStyle w:val="Style28"/>
        <w:ind w:left="-15" w:firstLine="840"/>
        <w:jc w:val="center"/>
        <w:rPr>
          <w:b/>
          <w:b/>
        </w:rPr>
      </w:pPr>
      <w:r>
        <w:rPr>
          <w:b/>
        </w:rPr>
        <w:t>1. Общие положения</w:t>
      </w:r>
    </w:p>
    <w:p>
      <w:pPr>
        <w:pStyle w:val="Style28"/>
        <w:ind w:left="-15" w:firstLine="840"/>
        <w:jc w:val="center"/>
        <w:rPr/>
      </w:pPr>
      <w:r>
        <w:rPr/>
      </w:r>
    </w:p>
    <w:p>
      <w:pPr>
        <w:pStyle w:val="Style28"/>
        <w:ind w:left="-15" w:firstLine="840"/>
        <w:rPr/>
      </w:pPr>
      <w:r>
        <w:rPr/>
        <w:t>1. Настоящие методики прогнозирования поступлений доходов (далее - методики) в областной и муниципальные бюджеты (далее — доходы), главным администратором которых является Департамент ветеринарии Томской области определяют основные принципы прогнозирования доходов бюджета на текущий, очередной финансовый год и плановый период.</w:t>
      </w:r>
    </w:p>
    <w:p>
      <w:pPr>
        <w:pStyle w:val="Style28"/>
        <w:ind w:left="-15" w:firstLine="840"/>
        <w:rPr/>
      </w:pPr>
      <w:r>
        <w:rPr/>
        <w:t>2. Прогнозирование поступлений доходов в бюджет осуществляется с действующим бюджетным законодательством Российской Федерации, нормативно-правовыми актами Томской области.</w:t>
      </w:r>
    </w:p>
    <w:p>
      <w:pPr>
        <w:pStyle w:val="Style28"/>
        <w:ind w:left="-15" w:firstLine="840"/>
        <w:rPr/>
      </w:pPr>
      <w:r>
        <w:rPr/>
        <w:t>3. Методики разработаны по всем кодам классификации доходов, закрепленных за Департаментом ветеринарии Томской области согласно правовым актам о наделении Департамента ветеринарии соответствующими полномочиями. Перечень  закрепленных за Департаментом ветеринарии кодов бюджетной классификации РФ по доходам</w:t>
      </w:r>
      <w:r>
        <w:rPr>
          <w:color w:val="800000"/>
        </w:rPr>
        <w:t xml:space="preserve"> </w:t>
      </w:r>
      <w:r>
        <w:rPr>
          <w:color w:val="000000"/>
        </w:rPr>
        <w:t>приведен в приложении.</w:t>
      </w:r>
    </w:p>
    <w:p>
      <w:pPr>
        <w:pStyle w:val="Style28"/>
        <w:ind w:left="-15" w:firstLine="840"/>
        <w:rPr>
          <w:color w:val="000000"/>
        </w:rPr>
      </w:pPr>
      <w:r>
        <w:rPr>
          <w:color w:val="000000"/>
        </w:rPr>
        <w:t>4. Методики прогнозирования по каждому виду доходов содержит:</w:t>
      </w:r>
    </w:p>
    <w:p>
      <w:pPr>
        <w:pStyle w:val="Style28"/>
        <w:ind w:left="-15" w:firstLine="840"/>
        <w:rPr>
          <w:color w:val="000000"/>
        </w:rPr>
      </w:pPr>
      <w:r>
        <w:rPr>
          <w:color w:val="000000"/>
        </w:rPr>
        <w:t>а) описание показателей, используемых для расчета прогнозного объема поступлений, с указанием данных для соответствующего показателя;</w:t>
      </w:r>
    </w:p>
    <w:p>
      <w:pPr>
        <w:pStyle w:val="Style28"/>
        <w:ind w:left="-15" w:firstLine="840"/>
        <w:rPr>
          <w:color w:val="000000"/>
        </w:rPr>
      </w:pPr>
      <w:r>
        <w:rPr>
          <w:color w:val="000000"/>
        </w:rPr>
        <w:t>б) характеристику метода расчета прогнозного объема поступлений. Для каждого вида доходов может применяться один или несколько методов:</w:t>
      </w:r>
    </w:p>
    <w:p>
      <w:pPr>
        <w:pStyle w:val="Style28"/>
        <w:ind w:left="-15" w:firstLine="582"/>
        <w:rPr/>
      </w:pPr>
      <w:r>
        <w:rPr>
          <w:color w:val="000000"/>
        </w:rPr>
        <w:t>- прямой расчет, основанный на непосредственном использовании прогнозных значений объемных и стоимостных показателей, уровней ставок и других показателей, определяющих прогнозный объем поступлений прогнозируемого вида доходов;</w:t>
      </w:r>
    </w:p>
    <w:p>
      <w:pPr>
        <w:pStyle w:val="Style16"/>
        <w:ind w:firstLine="540"/>
        <w:rPr/>
      </w:pPr>
      <w:r>
        <w:rPr/>
        <w:t>- усреднение - расчет, осуществляемый на основании усреднения годовых объемов доходов не менее чем за 3 года или за весь период поступления соответствующего вида доходов в случае, если он не превышает 3 года;</w:t>
      </w:r>
    </w:p>
    <w:p>
      <w:pPr>
        <w:pStyle w:val="Style16"/>
        <w:ind w:firstLine="540"/>
        <w:rPr/>
      </w:pPr>
      <w:r>
        <w:rPr/>
        <w:t>- индексация - расчет с применением индекса потребительских цен или другого коэффициента, характеризующего динамику прогнозируемого вида доходов;</w:t>
      </w:r>
    </w:p>
    <w:p>
      <w:pPr>
        <w:pStyle w:val="Style16"/>
        <w:ind w:firstLine="540"/>
        <w:rPr/>
      </w:pPr>
      <w:r>
        <w:rPr/>
        <w:t>- экстраполяция - расчет, осуществляемый на основании имеющихся данных о тенденциях изменений поступлений в прошлых периодах;</w:t>
      </w:r>
    </w:p>
    <w:p>
      <w:pPr>
        <w:pStyle w:val="Style16"/>
        <w:ind w:firstLine="540"/>
        <w:rPr/>
      </w:pPr>
      <w:r>
        <w:rPr/>
        <w:t>- иной способ, который описывается в методике прогнозирования;</w:t>
      </w:r>
    </w:p>
    <w:p>
      <w:pPr>
        <w:pStyle w:val="Style16"/>
        <w:ind w:left="-15" w:hanging="0"/>
        <w:rPr>
          <w:color w:val="000000"/>
        </w:rPr>
      </w:pPr>
      <w:r>
        <w:rPr>
          <w:color w:val="000000"/>
        </w:rPr>
        <w:tab/>
        <w:tab/>
        <w:t>в) описание фактического алгоритма расчета (формулы) прогнозируемого объема поступлений в бюджеты бюджетной системы Российской Федерации.</w:t>
      </w:r>
    </w:p>
    <w:p>
      <w:pPr>
        <w:pStyle w:val="Style16"/>
        <w:ind w:left="-15" w:hanging="0"/>
        <w:rPr>
          <w:color w:val="000000"/>
        </w:rPr>
      </w:pPr>
      <w:r>
        <w:rPr>
          <w:color w:val="000000"/>
        </w:rPr>
        <w:tab/>
        <w:tab/>
        <w:t>6. Термины и определения:</w:t>
      </w:r>
    </w:p>
    <w:p>
      <w:pPr>
        <w:pStyle w:val="Normal"/>
        <w:ind w:firstLine="709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Базисный период – не менее трех лет, предшествующих текущему финансовому году.</w:t>
      </w:r>
    </w:p>
    <w:p>
      <w:pPr>
        <w:pStyle w:val="Normal"/>
        <w:ind w:firstLine="709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Отчетный финансовый год - год, предшествующий текущему финансовому году.</w:t>
      </w:r>
    </w:p>
    <w:p>
      <w:pPr>
        <w:pStyle w:val="Normal"/>
        <w:ind w:firstLine="709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Текущий финансовый год - год, в котором осуществляется исполнение бюджета, составление и рассмотрение проекта бюджета на очередной финансовый год и плановый период.</w:t>
      </w:r>
    </w:p>
    <w:p>
      <w:pPr>
        <w:pStyle w:val="Normal"/>
        <w:ind w:firstLine="709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Очередной финансовый год – год, следующий за текущим финансовым годом.</w:t>
      </w:r>
    </w:p>
    <w:p>
      <w:pPr>
        <w:pStyle w:val="Normal"/>
        <w:ind w:firstLine="709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Плановый период - два финансовых года, следующие за очередным финансовым годом.</w:t>
      </w:r>
    </w:p>
    <w:p>
      <w:pPr>
        <w:pStyle w:val="ConsPlusNormal"/>
        <w:ind w:firstLine="709"/>
        <w:jc w:val="both"/>
        <w:rPr>
          <w:rFonts w:ascii="Times New Roman" w:hAnsi="Times New Roman" w:eastAsia="Lucida Sans Unicode" w:cs="Mangal"/>
          <w:color w:val="000000"/>
          <w:sz w:val="28"/>
        </w:rPr>
      </w:pPr>
      <w:r>
        <w:rPr>
          <w:rFonts w:eastAsia="Lucida Sans Unicode" w:cs="Mangal" w:ascii="Times New Roman" w:hAnsi="Times New Roman"/>
          <w:color w:val="000000"/>
          <w:sz w:val="28"/>
        </w:rPr>
        <w:t>7. Для оценки и прогноза используется индекс потребительских цен Томской области (далее – ИПЦ) среднегодовой на основании базового варианта и со значением соответствующего периода расчета (ИПЦочерфингод, ИПЦплпериод1, ИПЦплпериод2).</w:t>
      </w:r>
    </w:p>
    <w:p>
      <w:pPr>
        <w:pStyle w:val="Style16"/>
        <w:rPr>
          <w:color w:val="000000"/>
        </w:rPr>
      </w:pPr>
      <w:r>
        <w:rPr>
          <w:color w:val="000000"/>
        </w:rPr>
      </w:r>
    </w:p>
    <w:p>
      <w:pPr>
        <w:pStyle w:val="Style16"/>
        <w:ind w:left="-15" w:firstLine="840"/>
        <w:jc w:val="center"/>
        <w:rPr>
          <w:b/>
          <w:b/>
          <w:color w:val="000000"/>
        </w:rPr>
      </w:pPr>
      <w:r>
        <w:rPr>
          <w:b/>
          <w:color w:val="000000"/>
        </w:rPr>
        <w:t>2. Методика прогнозирования поступлений доходов в областной бюджет из федерального бюджета</w:t>
      </w:r>
    </w:p>
    <w:p>
      <w:pPr>
        <w:pStyle w:val="Style16"/>
        <w:ind w:left="-15" w:firstLine="840"/>
        <w:jc w:val="center"/>
        <w:rPr>
          <w:color w:val="000000"/>
        </w:rPr>
      </w:pPr>
      <w:r>
        <w:rPr>
          <w:color w:val="000000"/>
        </w:rPr>
      </w:r>
    </w:p>
    <w:p>
      <w:pPr>
        <w:pStyle w:val="Style16"/>
        <w:ind w:left="-15" w:firstLine="840"/>
        <w:rPr>
          <w:color w:val="000000"/>
        </w:rPr>
      </w:pPr>
      <w:r>
        <w:rPr>
          <w:color w:val="000000"/>
        </w:rPr>
        <w:t>Объемы поступлений из федерального бюджета субсидии бюджетам Российской Федерации на реализацию дополнительных мероприятий прогнозируются в соответствии с показателями, утвержденными федеральным законом о федеральном бюджете, соответствующими правовыми актами Российской Федерации.</w:t>
      </w:r>
    </w:p>
    <w:p>
      <w:pPr>
        <w:pStyle w:val="Style16"/>
        <w:ind w:left="-15" w:firstLine="840"/>
        <w:jc w:val="center"/>
        <w:rPr>
          <w:color w:val="000000"/>
        </w:rPr>
      </w:pPr>
      <w:r>
        <w:rPr>
          <w:color w:val="000000"/>
        </w:rPr>
      </w:r>
    </w:p>
    <w:p>
      <w:pPr>
        <w:pStyle w:val="Style16"/>
        <w:ind w:left="-15" w:firstLine="840"/>
        <w:jc w:val="center"/>
        <w:rPr>
          <w:b/>
          <w:b/>
          <w:color w:val="000000"/>
        </w:rPr>
      </w:pPr>
      <w:r>
        <w:rPr>
          <w:b/>
          <w:color w:val="000000"/>
        </w:rPr>
        <w:t xml:space="preserve">3. Методика прогнозирования поступлений доходов в областной бюджет  </w:t>
      </w:r>
      <w:r>
        <w:rPr>
          <w:rFonts w:eastAsia="Times New Roman" w:cs="Times New Roman"/>
          <w:b/>
          <w:color w:val="000000"/>
        </w:rPr>
        <w:t>от возврата остатков субсидий, субвенций и иных межбюджетных трансфертов, имеющих целевое назначение, прошлых лет</w:t>
      </w:r>
    </w:p>
    <w:p>
      <w:pPr>
        <w:pStyle w:val="Style16"/>
        <w:ind w:left="-15" w:firstLine="840"/>
        <w:jc w:val="center"/>
        <w:rPr>
          <w:color w:val="000000"/>
        </w:rPr>
      </w:pPr>
      <w:r>
        <w:rPr>
          <w:color w:val="000000"/>
        </w:rPr>
      </w:r>
    </w:p>
    <w:p>
      <w:pPr>
        <w:pStyle w:val="Style16"/>
        <w:ind w:left="-15" w:firstLine="840"/>
        <w:rPr>
          <w:rFonts w:eastAsia="Times New Roman" w:cs="Times New Roman"/>
          <w:color w:val="000000"/>
        </w:rPr>
      </w:pPr>
      <w:r>
        <w:rPr>
          <w:color w:val="000000"/>
        </w:rPr>
        <w:t>К доходам от возврата остатков межбюджетных трансфертов, имеющих целевое назначение, относятся  доходы областного бюджета, ранее полученные в виде субвенции на исполнение переданных полномочий согласно  Закону Томской области от 11.04.2013 № 51-ОЗ «О наделении органов местного самоуправления отдельными государственными полномочиями по регулированию численности безнадзорных животных» по следующим кодам:</w:t>
      </w:r>
    </w:p>
    <w:p>
      <w:pPr>
        <w:pStyle w:val="Style16"/>
        <w:ind w:left="-15" w:firstLine="840"/>
        <w:rPr/>
      </w:pPr>
      <w:r>
        <w:rPr>
          <w:rFonts w:eastAsia="Times New Roman" w:cs="Times New Roman"/>
        </w:rPr>
        <w:t xml:space="preserve">- </w:t>
      </w:r>
      <w:r>
        <w:rPr/>
        <w:t>818 2 18 60010 02 0000 150 - Доходы бюджетов субъектов Российской Федерации от возврата прочих остатков субсидий, субвенций и иных межбюджетных трансфертов, имеющих целевое назначение, прошлых лет из бюджетов муниципальных образований.</w:t>
      </w:r>
    </w:p>
    <w:p>
      <w:pPr>
        <w:pStyle w:val="Style16"/>
        <w:ind w:left="-15" w:firstLine="840"/>
        <w:rPr>
          <w:color w:val="000000"/>
        </w:rPr>
      </w:pPr>
      <w:r>
        <w:rPr>
          <w:color w:val="000000"/>
        </w:rPr>
        <w:t>К доходам от возврата остатков субсидии относятся доходы, ранее полученной бюджетными учреждениями на выполнение государственного задания и иные цели по коду:</w:t>
      </w:r>
    </w:p>
    <w:p>
      <w:pPr>
        <w:pStyle w:val="Style16"/>
        <w:ind w:left="-15" w:firstLine="840"/>
        <w:rPr/>
      </w:pPr>
      <w:r>
        <w:rPr>
          <w:sz w:val="27"/>
          <w:szCs w:val="27"/>
        </w:rPr>
        <w:t xml:space="preserve">- </w:t>
      </w:r>
      <w:r>
        <w:rPr>
          <w:color w:val="000000"/>
        </w:rPr>
        <w:t>818 2 18 02010 02 0000 150 - Доходы бюджетов субъектов Российской Федерации от возврата бюджетными учреждениями остатков субсидии прошлых лет</w:t>
      </w:r>
      <w:r>
        <w:rPr>
          <w:rFonts w:eastAsia="Times New Roman" w:cs="Times New Roman"/>
          <w:color w:val="000000"/>
        </w:rPr>
        <w:t>.</w:t>
      </w:r>
    </w:p>
    <w:p>
      <w:pPr>
        <w:pStyle w:val="Style16"/>
        <w:ind w:left="-15" w:firstLine="840"/>
        <w:rPr/>
      </w:pPr>
      <w:r>
        <w:rPr>
          <w:color w:val="000000"/>
        </w:rPr>
        <w:t>Объемы поступлений по доходам областного бюджета от возврата остатков субсидии, субвенции и иных межбюджетных трансфертов, имеющих целевое назначение прошлых лет, ранее полученных в виде субвенции и субсидии из областного бюджета от возврата остатков прошлых лет не прогнозируются в связи несистематичностью и непредсказуемостью их образования.</w:t>
      </w:r>
    </w:p>
    <w:p>
      <w:pPr>
        <w:pStyle w:val="Style16"/>
        <w:ind w:left="-15" w:firstLine="840"/>
        <w:jc w:val="center"/>
        <w:rPr>
          <w:b/>
          <w:b/>
          <w:color w:val="000000"/>
          <w:highlight w:val="yellow"/>
        </w:rPr>
      </w:pPr>
      <w:r>
        <w:rPr>
          <w:b/>
          <w:color w:val="000000"/>
          <w:highlight w:val="yellow"/>
        </w:rPr>
      </w:r>
    </w:p>
    <w:p>
      <w:pPr>
        <w:pStyle w:val="Style16"/>
        <w:ind w:left="-15" w:firstLine="840"/>
        <w:jc w:val="center"/>
        <w:rPr>
          <w:b/>
          <w:b/>
          <w:color w:val="000000"/>
        </w:rPr>
      </w:pPr>
      <w:r>
        <w:rPr>
          <w:b/>
          <w:color w:val="000000"/>
        </w:rPr>
        <w:t>4. Методика прогнозирования поступлений доходов в областной бюджет штрафов, санкций, возмещения ущерба</w:t>
      </w:r>
    </w:p>
    <w:p>
      <w:pPr>
        <w:pStyle w:val="Style16"/>
        <w:ind w:left="-15" w:firstLine="840"/>
        <w:rPr>
          <w:color w:val="000000"/>
        </w:rPr>
      </w:pPr>
      <w:r>
        <w:rPr>
          <w:color w:val="000000"/>
        </w:rPr>
      </w:r>
    </w:p>
    <w:p>
      <w:pPr>
        <w:pStyle w:val="Style28"/>
        <w:ind w:left="-15" w:firstLine="840"/>
        <w:rPr/>
      </w:pPr>
      <w:r>
        <w:rPr>
          <w:color w:val="000000"/>
        </w:rPr>
        <w:t>Прогнозирование доходов, не имеющих постоянного характера поступлений и установленных ставок, осуществляется на основании усреднения годовых объемов доходов не менее чем за 3 года или за весь период поступления соответствующего вида доходов в случае, если он не превышает 3 года.</w:t>
      </w:r>
    </w:p>
    <w:p>
      <w:pPr>
        <w:pStyle w:val="Style28"/>
        <w:ind w:left="-15" w:firstLine="840"/>
        <w:rPr>
          <w:color w:val="000000"/>
        </w:rPr>
      </w:pPr>
      <w:r>
        <w:rPr>
          <w:color w:val="000000"/>
        </w:rPr>
        <w:t>К доходам, не имеющим постоянного характера поступлений, главным администратором которых является Департамент ветеринарии Томской области, относятся:</w:t>
      </w:r>
    </w:p>
    <w:p>
      <w:pPr>
        <w:pStyle w:val="Style28"/>
        <w:ind w:left="-15" w:firstLine="840"/>
        <w:rPr/>
      </w:pPr>
      <w:r>
        <w:rPr>
          <w:color w:val="000000"/>
        </w:rPr>
        <w:t xml:space="preserve">- 818 1 16 32000 02 0000 140 - </w:t>
      </w:r>
      <w:r>
        <w:rPr>
          <w:rFonts w:eastAsia="Times New Roman" w:cs="Times New Roman"/>
          <w:color w:val="000000"/>
        </w:rPr>
        <w:t>Денежные взыскания, налагаемые в возмещение ущерба,</w:t>
      </w:r>
      <w:r>
        <w:rPr>
          <w:rFonts w:eastAsia="Times New Roman" w:cs="Times New Roman"/>
          <w:color w:val="000000"/>
          <w:sz w:val="24"/>
        </w:rPr>
        <w:t xml:space="preserve"> </w:t>
      </w:r>
      <w:r>
        <w:rPr>
          <w:rFonts w:eastAsia="Times New Roman" w:cs="Times New Roman"/>
          <w:color w:val="000000"/>
        </w:rPr>
        <w:t>причиненного в результате незаконного или нецелевого использования бюджетных средств (в части бюджетов субъектов Российской Федерации);</w:t>
      </w:r>
    </w:p>
    <w:p>
      <w:pPr>
        <w:pStyle w:val="Style28"/>
        <w:ind w:left="-15" w:firstLine="840"/>
        <w:rPr>
          <w:color w:val="000000"/>
        </w:rPr>
      </w:pPr>
      <w:r>
        <w:rPr>
          <w:color w:val="000000"/>
        </w:rPr>
        <w:t>- 818 1 16 90020 02 0000 140 - Прочие поступления от денежных взысканий (штрафов) и иных сумм в возмещение ущерба, зачисляемые в бюджеты субъектов Российской Федерации.</w:t>
      </w:r>
    </w:p>
    <w:p>
      <w:pPr>
        <w:pStyle w:val="Style28"/>
        <w:ind w:left="-15" w:firstLine="840"/>
        <w:rPr>
          <w:color w:val="000000"/>
        </w:rPr>
      </w:pPr>
      <w:r>
        <w:rPr>
          <w:color w:val="000000"/>
        </w:rPr>
        <w:t>Источником данных для соответствующего показателя является отчет  об исполнении бюджета  главного распорядителя, распорядителя, получателя бюджетных средств, главного администратора, администратора источников финансирования главного администратора, администратора доходов бюджета (форма 0503127).</w:t>
      </w:r>
    </w:p>
    <w:p>
      <w:pPr>
        <w:pStyle w:val="Style16"/>
        <w:rPr>
          <w:color w:val="000000"/>
        </w:rPr>
      </w:pPr>
      <w:r>
        <w:rPr>
          <w:rFonts w:ascii="Times New Roman;serif" w:hAnsi="Times New Roman;serif"/>
          <w:color w:val="000000"/>
          <w:sz w:val="26"/>
        </w:rPr>
        <w:tab/>
      </w:r>
      <w:r>
        <w:rPr>
          <w:color w:val="000000"/>
          <w:u w:val="single"/>
        </w:rPr>
        <w:t xml:space="preserve">Поступления  в областной бюджет </w:t>
      </w:r>
      <w:r>
        <w:rPr>
          <w:u w:val="single"/>
        </w:rPr>
        <w:t xml:space="preserve">от штрафов, санкций, возмещения ущерба </w:t>
      </w:r>
      <w:r>
        <w:rPr>
          <w:color w:val="000000"/>
          <w:u w:val="single"/>
        </w:rPr>
        <w:t>в текущем финансовом году</w:t>
      </w:r>
      <w:r>
        <w:rPr>
          <w:color w:val="000000"/>
        </w:rPr>
        <w:t xml:space="preserve"> рассчитывается по формуле:</w:t>
      </w:r>
    </w:p>
    <w:p>
      <w:pPr>
        <w:pStyle w:val="Style16"/>
        <w:rPr>
          <w:color w:val="000000"/>
        </w:rPr>
      </w:pPr>
      <w:r>
        <w:rPr>
          <w:color w:val="000000"/>
        </w:rPr>
      </w:r>
    </w:p>
    <w:p>
      <w:pPr>
        <w:pStyle w:val="Style16"/>
        <w:jc w:val="center"/>
        <w:rPr>
          <w:rFonts w:cs="Times New Roman"/>
          <w:color w:val="000000"/>
        </w:rPr>
      </w:pPr>
      <w:r>
        <w:rPr>
          <w:color w:val="000000"/>
        </w:rPr>
        <w:t>Д</w:t>
      </w:r>
      <w:r>
        <w:rPr>
          <w:color w:val="000000"/>
          <w:vertAlign w:val="subscript"/>
        </w:rPr>
        <w:t>дв</w:t>
      </w:r>
      <w:r>
        <w:rPr>
          <w:color w:val="000000"/>
        </w:rPr>
        <w:t>= ((Д</w:t>
      </w:r>
      <w:r>
        <w:rPr>
          <w:color w:val="000000"/>
          <w:vertAlign w:val="subscript"/>
        </w:rPr>
        <w:t>дв1</w:t>
      </w:r>
      <w:r>
        <w:rPr>
          <w:color w:val="000000"/>
        </w:rPr>
        <w:t>/12+Д</w:t>
      </w:r>
      <w:r>
        <w:rPr>
          <w:color w:val="000000"/>
          <w:vertAlign w:val="subscript"/>
        </w:rPr>
        <w:t>дв2</w:t>
      </w:r>
      <w:r>
        <w:rPr>
          <w:color w:val="000000"/>
        </w:rPr>
        <w:t>/12+Д</w:t>
      </w:r>
      <w:r>
        <w:rPr>
          <w:color w:val="000000"/>
          <w:vertAlign w:val="subscript"/>
        </w:rPr>
        <w:t>дв3</w:t>
      </w:r>
      <w:r>
        <w:rPr>
          <w:color w:val="000000"/>
        </w:rPr>
        <w:t>/12+Д</w:t>
      </w:r>
      <w:r>
        <w:rPr>
          <w:color w:val="000000"/>
          <w:vertAlign w:val="subscript"/>
        </w:rPr>
        <w:t>дв_</w:t>
      </w:r>
      <w:r>
        <w:rPr>
          <w:color w:val="000000"/>
          <w:vertAlign w:val="subscript"/>
          <w:lang w:val="en-US"/>
        </w:rPr>
        <w:t>n</w:t>
      </w:r>
      <w:r>
        <w:rPr>
          <w:color w:val="000000"/>
        </w:rPr>
        <w:t>/12+Д</w:t>
      </w:r>
      <w:r>
        <w:rPr>
          <w:color w:val="000000"/>
          <w:vertAlign w:val="subscript"/>
        </w:rPr>
        <w:t>дв_текфингод</w:t>
      </w:r>
      <w:r>
        <w:rPr>
          <w:color w:val="000000"/>
        </w:rPr>
        <w:t>/</w:t>
      </w:r>
      <w:r>
        <w:rPr>
          <w:color w:val="000000"/>
          <w:lang w:val="en-US"/>
        </w:rPr>
        <w:t>d</w:t>
      </w:r>
      <w:r>
        <w:rPr>
          <w:color w:val="000000"/>
        </w:rPr>
        <w:t xml:space="preserve">) / </w:t>
      </w:r>
      <w:r>
        <w:rPr>
          <w:color w:val="000000"/>
          <w:lang w:val="en-US"/>
        </w:rPr>
        <w:t>n</w:t>
      </w:r>
      <w:r>
        <w:rPr>
          <w:color w:val="000000"/>
        </w:rPr>
        <w:t xml:space="preserve">) </w:t>
      </w:r>
      <w:r>
        <w:rPr>
          <w:rFonts w:cs="Times New Roman"/>
          <w:color w:val="000000"/>
        </w:rPr>
        <w:t xml:space="preserve">× </w:t>
      </w:r>
      <w:r>
        <w:rPr>
          <w:color w:val="000000"/>
        </w:rPr>
        <w:t xml:space="preserve">12 </w:t>
      </w:r>
      <w:r>
        <w:rPr>
          <w:rFonts w:cs="Times New Roman"/>
          <w:color w:val="000000"/>
        </w:rPr>
        <w:t xml:space="preserve">± К, </w:t>
      </w:r>
    </w:p>
    <w:p>
      <w:pPr>
        <w:pStyle w:val="Style16"/>
        <w:ind w:firstLine="708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Style16"/>
        <w:ind w:firstLine="708"/>
        <w:rPr>
          <w:color w:val="000000"/>
        </w:rPr>
      </w:pPr>
      <w:r>
        <w:rPr>
          <w:rFonts w:cs="Times New Roman"/>
          <w:color w:val="000000"/>
        </w:rPr>
        <w:t>где:</w:t>
      </w:r>
      <w:r>
        <w:rPr>
          <w:color w:val="000000"/>
        </w:rPr>
        <w:tab/>
        <w:tab/>
        <w:tab/>
      </w:r>
    </w:p>
    <w:p>
      <w:pPr>
        <w:pStyle w:val="Style16"/>
        <w:ind w:firstLine="708"/>
        <w:rPr>
          <w:color w:val="000000"/>
        </w:rPr>
      </w:pPr>
      <w:r>
        <w:rPr>
          <w:color w:val="000000"/>
        </w:rPr>
        <w:t>Д</w:t>
      </w:r>
      <w:r>
        <w:rPr>
          <w:color w:val="000000"/>
          <w:vertAlign w:val="subscript"/>
        </w:rPr>
        <w:t>дв</w:t>
      </w:r>
      <w:r>
        <w:rPr>
          <w:color w:val="000000"/>
        </w:rPr>
        <w:t xml:space="preserve"> – доходы от  штрафов, санкций, возмещения ущерба текущего финансового года;</w:t>
      </w:r>
    </w:p>
    <w:p>
      <w:pPr>
        <w:pStyle w:val="Style16"/>
        <w:ind w:firstLine="708"/>
        <w:rPr>
          <w:color w:val="000000"/>
        </w:rPr>
      </w:pPr>
      <w:r>
        <w:rPr>
          <w:color w:val="000000"/>
        </w:rPr>
        <w:t>Д</w:t>
      </w:r>
      <w:r>
        <w:rPr>
          <w:color w:val="000000"/>
          <w:vertAlign w:val="subscript"/>
        </w:rPr>
        <w:t>дв1(2, 3…</w:t>
      </w:r>
      <w:r>
        <w:rPr>
          <w:color w:val="000000"/>
          <w:vertAlign w:val="subscript"/>
          <w:lang w:val="en-US"/>
        </w:rPr>
        <w:t>n</w:t>
      </w:r>
      <w:r>
        <w:rPr>
          <w:color w:val="000000"/>
          <w:vertAlign w:val="subscript"/>
        </w:rPr>
        <w:t>)</w:t>
      </w:r>
      <w:r>
        <w:rPr>
          <w:color w:val="000000"/>
          <w:position w:val="-8"/>
        </w:rPr>
        <w:t xml:space="preserve"> </w:t>
      </w:r>
      <w:r>
        <w:rPr>
          <w:color w:val="000000"/>
        </w:rPr>
        <w:t xml:space="preserve">– доходы от  штрафов, санкций, возмещения ущерба за 1, 2, 3, n-й год из предшествующих прогнозируемому периоду; </w:t>
      </w:r>
    </w:p>
    <w:p>
      <w:pPr>
        <w:pStyle w:val="Style16"/>
        <w:ind w:firstLine="708"/>
        <w:rPr>
          <w:color w:val="000000"/>
        </w:rPr>
      </w:pPr>
      <w:r>
        <w:rPr>
          <w:rFonts w:cs="Times New Roman"/>
          <w:szCs w:val="28"/>
          <w:lang w:val="en-US"/>
        </w:rPr>
        <w:t>d</w:t>
      </w:r>
      <w:r>
        <w:rPr>
          <w:rFonts w:cs="Times New Roman"/>
          <w:szCs w:val="28"/>
        </w:rPr>
        <w:t xml:space="preserve"> – количество месяцев с начала года до месяца, в котором рассчитывается оценка;</w:t>
      </w:r>
    </w:p>
    <w:p>
      <w:pPr>
        <w:pStyle w:val="Style16"/>
        <w:rPr>
          <w:color w:val="000000"/>
        </w:rPr>
      </w:pPr>
      <w:r>
        <w:rPr>
          <w:color w:val="000000"/>
        </w:rPr>
        <w:tab/>
        <w:t>n – количество лет, используемых для расчета показателя;</w:t>
      </w:r>
    </w:p>
    <w:p>
      <w:pPr>
        <w:pStyle w:val="Style16"/>
        <w:ind w:firstLine="709"/>
        <w:rPr>
          <w:color w:val="000000"/>
        </w:rPr>
      </w:pPr>
      <w:r>
        <w:rPr>
          <w:color w:val="000000"/>
          <w:position w:val="-8"/>
        </w:rPr>
        <w:t>Д</w:t>
      </w:r>
      <w:r>
        <w:rPr>
          <w:color w:val="000000"/>
          <w:vertAlign w:val="subscript"/>
        </w:rPr>
        <w:t>дв_текфингод</w:t>
      </w:r>
      <w:r>
        <w:rPr>
          <w:color w:val="000000"/>
          <w:position w:val="-8"/>
        </w:rPr>
        <w:t xml:space="preserve"> </w:t>
      </w:r>
      <w:r>
        <w:rPr>
          <w:rFonts w:cs="Times New Roman"/>
        </w:rPr>
        <w:t>- фактическое поступление сумм</w:t>
      </w:r>
      <w:r>
        <w:rPr>
          <w:rFonts w:cs="Times New Roman"/>
          <w:color w:val="1A171B"/>
        </w:rPr>
        <w:t xml:space="preserve"> штрафов, </w:t>
      </w:r>
      <w:r>
        <w:rPr>
          <w:rFonts w:cs="Times New Roman"/>
        </w:rPr>
        <w:t>санкций, возмещения ущерба на 1-е число месяца текущего финансового года, в котором рассчитывается оценка (нарастающим итогом с начала текущего финансового года);</w:t>
      </w:r>
    </w:p>
    <w:p>
      <w:pPr>
        <w:pStyle w:val="Style16"/>
        <w:rPr/>
      </w:pPr>
      <w:r>
        <w:rPr>
          <w:color w:val="000000"/>
        </w:rPr>
        <w:tab/>
      </w:r>
      <w:r>
        <w:rPr>
          <w:color w:val="000000"/>
          <w:lang w:val="en-US"/>
        </w:rPr>
        <w:t>K</w:t>
      </w:r>
      <w:r>
        <w:rPr>
          <w:color w:val="000000"/>
        </w:rPr>
        <w:t xml:space="preserve"> - дополнительные (выпадающие со знаком «-») доходы бюджета, связанные с изменением (корректировкой) доходов на сумму неисполнения / превышения планового  объема от их фактического исполнения.</w:t>
      </w:r>
    </w:p>
    <w:p>
      <w:pPr>
        <w:pStyle w:val="Style16"/>
        <w:rPr/>
      </w:pPr>
      <w:r>
        <w:rPr>
          <w:color w:val="FF3333"/>
        </w:rPr>
        <w:tab/>
      </w:r>
      <w:r>
        <w:rPr>
          <w:color w:val="000000"/>
          <w:u w:val="single"/>
        </w:rPr>
        <w:t xml:space="preserve">Поступления  в областной бюджет от штрафов, санкций, возмещения ущерба на очередной финансовый год и плановый период  </w:t>
      </w:r>
      <w:r>
        <w:rPr>
          <w:color w:val="000000"/>
        </w:rPr>
        <w:t xml:space="preserve"> рассчитывается по формуле:</w:t>
      </w:r>
    </w:p>
    <w:p>
      <w:pPr>
        <w:pStyle w:val="Style16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Style16"/>
        <w:rPr>
          <w:color w:val="000000"/>
          <w:szCs w:val="28"/>
        </w:rPr>
      </w:pPr>
      <w:r>
        <w:rPr>
          <w:color w:val="000000"/>
          <w:szCs w:val="28"/>
        </w:rPr>
        <w:t xml:space="preserve">Очередной финансовый год: </w:t>
      </w:r>
      <w:r>
        <w:rPr>
          <w:b/>
          <w:color w:val="000000"/>
          <w:szCs w:val="28"/>
        </w:rPr>
        <w:t>Д</w:t>
      </w:r>
      <w:r>
        <w:rPr>
          <w:b/>
          <w:color w:val="000000"/>
          <w:position w:val="-8"/>
          <w:szCs w:val="28"/>
        </w:rPr>
        <w:t xml:space="preserve">очерфингод </w:t>
      </w:r>
      <w:r>
        <w:rPr>
          <w:b/>
          <w:color w:val="000000"/>
          <w:szCs w:val="28"/>
        </w:rPr>
        <w:t xml:space="preserve">= </w:t>
      </w:r>
      <w:r>
        <w:rPr>
          <w:color w:val="000000"/>
        </w:rPr>
        <w:t>Д</w:t>
      </w:r>
      <w:r>
        <w:rPr>
          <w:color w:val="000000"/>
          <w:position w:val="-8"/>
        </w:rPr>
        <w:t>дв</w:t>
      </w:r>
      <w:r>
        <w:rPr>
          <w:b/>
          <w:color w:val="000000"/>
          <w:position w:val="-8"/>
          <w:szCs w:val="28"/>
        </w:rPr>
        <w:t xml:space="preserve"> </w:t>
      </w:r>
      <w:r>
        <w:rPr>
          <w:b/>
          <w:color w:val="000000"/>
          <w:szCs w:val="28"/>
        </w:rPr>
        <w:t>× ИПЦ</w:t>
      </w:r>
      <w:r>
        <w:rPr>
          <w:b/>
          <w:color w:val="000000"/>
          <w:position w:val="-8"/>
          <w:szCs w:val="28"/>
        </w:rPr>
        <w:t>очерфингод</w:t>
      </w:r>
      <w:r>
        <w:rPr>
          <w:b/>
          <w:color w:val="000000"/>
          <w:szCs w:val="28"/>
        </w:rPr>
        <w:t xml:space="preserve"> +/- К </w:t>
      </w:r>
    </w:p>
    <w:p>
      <w:pPr>
        <w:pStyle w:val="Style16"/>
        <w:rPr>
          <w:rFonts w:ascii="Times New Roman;serif" w:hAnsi="Times New Roman;serif"/>
          <w:szCs w:val="28"/>
        </w:rPr>
      </w:pPr>
      <w:r>
        <w:rPr>
          <w:rFonts w:ascii="Times New Roman;serif" w:hAnsi="Times New Roman;serif"/>
          <w:szCs w:val="28"/>
        </w:rPr>
        <w:t xml:space="preserve">Плановый период 1: </w:t>
      </w:r>
      <w:r>
        <w:rPr>
          <w:rFonts w:ascii="Times New Roman;serif" w:hAnsi="Times New Roman;serif"/>
          <w:b/>
          <w:szCs w:val="28"/>
        </w:rPr>
        <w:t>Д</w:t>
      </w:r>
      <w:r>
        <w:rPr>
          <w:rFonts w:ascii="Times New Roman;serif" w:hAnsi="Times New Roman;serif"/>
          <w:b/>
          <w:position w:val="-8"/>
          <w:szCs w:val="28"/>
        </w:rPr>
        <w:t xml:space="preserve">плпериод1 </w:t>
      </w:r>
      <w:r>
        <w:rPr>
          <w:rFonts w:ascii="Times New Roman;serif" w:hAnsi="Times New Roman;serif"/>
          <w:b/>
          <w:szCs w:val="28"/>
        </w:rPr>
        <w:t>= Д</w:t>
      </w:r>
      <w:r>
        <w:rPr>
          <w:rFonts w:ascii="Times New Roman;serif" w:hAnsi="Times New Roman;serif"/>
          <w:b/>
          <w:position w:val="-8"/>
          <w:szCs w:val="28"/>
        </w:rPr>
        <w:t xml:space="preserve">очерфингод </w:t>
      </w:r>
      <w:r>
        <w:rPr>
          <w:rFonts w:ascii="Times New Roman;serif" w:hAnsi="Times New Roman;serif"/>
          <w:b/>
          <w:szCs w:val="28"/>
        </w:rPr>
        <w:t>× ИПЦ</w:t>
      </w:r>
      <w:r>
        <w:rPr>
          <w:rFonts w:ascii="Times New Roman;serif" w:hAnsi="Times New Roman;serif"/>
          <w:b/>
          <w:position w:val="-8"/>
          <w:szCs w:val="28"/>
        </w:rPr>
        <w:t xml:space="preserve">плпериод1 </w:t>
      </w:r>
      <w:r>
        <w:rPr>
          <w:rFonts w:ascii="Times New Roman;serif" w:hAnsi="Times New Roman;serif"/>
          <w:b/>
          <w:szCs w:val="28"/>
        </w:rPr>
        <w:t>+/- К</w:t>
      </w:r>
    </w:p>
    <w:p>
      <w:pPr>
        <w:pStyle w:val="Style16"/>
        <w:rPr>
          <w:rFonts w:ascii="Times New Roman;serif" w:hAnsi="Times New Roman;serif"/>
          <w:szCs w:val="28"/>
        </w:rPr>
      </w:pPr>
      <w:r>
        <w:rPr>
          <w:rFonts w:ascii="Times New Roman;serif" w:hAnsi="Times New Roman;serif"/>
          <w:szCs w:val="28"/>
        </w:rPr>
        <w:t xml:space="preserve">Плановый период 2: </w:t>
      </w:r>
      <w:r>
        <w:rPr>
          <w:rFonts w:ascii="Times New Roman;serif" w:hAnsi="Times New Roman;serif"/>
          <w:b/>
          <w:szCs w:val="28"/>
        </w:rPr>
        <w:t>Д</w:t>
      </w:r>
      <w:r>
        <w:rPr>
          <w:rFonts w:ascii="Times New Roman;serif" w:hAnsi="Times New Roman;serif"/>
          <w:b/>
          <w:position w:val="-8"/>
          <w:szCs w:val="28"/>
        </w:rPr>
        <w:t xml:space="preserve">плпериод2 </w:t>
      </w:r>
      <w:r>
        <w:rPr>
          <w:rFonts w:ascii="Times New Roman;serif" w:hAnsi="Times New Roman;serif"/>
          <w:b/>
          <w:szCs w:val="28"/>
        </w:rPr>
        <w:t>= Д</w:t>
      </w:r>
      <w:r>
        <w:rPr>
          <w:rFonts w:ascii="Times New Roman;serif" w:hAnsi="Times New Roman;serif"/>
          <w:b/>
          <w:position w:val="-8"/>
          <w:szCs w:val="28"/>
        </w:rPr>
        <w:t xml:space="preserve">плпериод1 </w:t>
      </w:r>
      <w:r>
        <w:rPr>
          <w:rFonts w:ascii="Times New Roman;serif" w:hAnsi="Times New Roman;serif"/>
          <w:b/>
          <w:szCs w:val="28"/>
        </w:rPr>
        <w:t>× ИПЦ</w:t>
      </w:r>
      <w:r>
        <w:rPr>
          <w:rFonts w:ascii="Times New Roman;serif" w:hAnsi="Times New Roman;serif"/>
          <w:b/>
          <w:position w:val="-8"/>
          <w:szCs w:val="28"/>
        </w:rPr>
        <w:t xml:space="preserve">плпериод2 </w:t>
      </w:r>
      <w:r>
        <w:rPr>
          <w:rFonts w:ascii="Times New Roman;serif" w:hAnsi="Times New Roman;serif"/>
          <w:b/>
          <w:szCs w:val="28"/>
        </w:rPr>
        <w:t>+/- К</w:t>
      </w:r>
    </w:p>
    <w:p>
      <w:pPr>
        <w:pStyle w:val="Style16"/>
        <w:ind w:firstLine="708"/>
        <w:rPr>
          <w:rFonts w:ascii="Times New Roman;serif" w:hAnsi="Times New Roman;serif"/>
          <w:szCs w:val="28"/>
        </w:rPr>
      </w:pPr>
      <w:r>
        <w:rPr>
          <w:rFonts w:ascii="Times New Roman;serif" w:hAnsi="Times New Roman;serif"/>
          <w:szCs w:val="28"/>
        </w:rPr>
      </w:r>
    </w:p>
    <w:p>
      <w:pPr>
        <w:pStyle w:val="Style16"/>
        <w:ind w:firstLine="708"/>
        <w:rPr>
          <w:rFonts w:ascii="Times New Roman;serif" w:hAnsi="Times New Roman;serif"/>
          <w:szCs w:val="28"/>
        </w:rPr>
      </w:pPr>
      <w:r>
        <w:rPr>
          <w:rFonts w:ascii="Times New Roman;serif" w:hAnsi="Times New Roman;serif"/>
          <w:szCs w:val="28"/>
        </w:rPr>
        <w:t>где:</w:t>
      </w:r>
    </w:p>
    <w:p>
      <w:pPr>
        <w:pStyle w:val="Style16"/>
        <w:rPr>
          <w:b/>
          <w:b/>
          <w:color w:val="000000"/>
          <w:szCs w:val="28"/>
        </w:rPr>
      </w:pPr>
      <w:r>
        <w:rPr>
          <w:b/>
          <w:color w:val="000000"/>
          <w:szCs w:val="28"/>
        </w:rPr>
        <w:tab/>
      </w:r>
      <w:r>
        <w:rPr>
          <w:color w:val="000000"/>
        </w:rPr>
        <w:t>Д</w:t>
      </w:r>
      <w:r>
        <w:rPr>
          <w:color w:val="000000"/>
          <w:position w:val="-8"/>
        </w:rPr>
        <w:t>дв</w:t>
      </w:r>
      <w:r>
        <w:rPr>
          <w:color w:val="000000"/>
        </w:rPr>
        <w:t xml:space="preserve"> – доходы от  штрафов, санкций, возмещения ущерба в текущем финансовом году;</w:t>
      </w:r>
    </w:p>
    <w:p>
      <w:pPr>
        <w:pStyle w:val="Style16"/>
        <w:ind w:firstLine="708"/>
        <w:rPr>
          <w:szCs w:val="28"/>
        </w:rPr>
      </w:pPr>
      <w:r>
        <w:rPr>
          <w:color w:val="000000"/>
          <w:szCs w:val="28"/>
        </w:rPr>
        <w:t>Д</w:t>
      </w:r>
      <w:r>
        <w:rPr>
          <w:color w:val="000000"/>
          <w:position w:val="-8"/>
          <w:szCs w:val="28"/>
        </w:rPr>
        <w:t xml:space="preserve">очерфингод  </w:t>
      </w:r>
      <w:r>
        <w:rPr>
          <w:rFonts w:ascii="Times New Roman;serif" w:hAnsi="Times New Roman;serif"/>
          <w:szCs w:val="28"/>
        </w:rPr>
        <w:t xml:space="preserve">- поступления </w:t>
      </w:r>
      <w:r>
        <w:rPr>
          <w:color w:val="000000"/>
        </w:rPr>
        <w:t>от  штрафов, санкций, возмещения ущерба</w:t>
      </w:r>
      <w:r>
        <w:rPr>
          <w:rFonts w:ascii="Times New Roman;serif" w:hAnsi="Times New Roman;serif"/>
          <w:szCs w:val="28"/>
        </w:rPr>
        <w:t xml:space="preserve"> в очередном финансовом году;</w:t>
      </w:r>
    </w:p>
    <w:p>
      <w:pPr>
        <w:pStyle w:val="Style16"/>
        <w:rPr>
          <w:szCs w:val="28"/>
        </w:rPr>
      </w:pPr>
      <w:r>
        <w:rPr>
          <w:color w:val="000000"/>
          <w:szCs w:val="28"/>
        </w:rPr>
        <w:tab/>
      </w:r>
      <w:r>
        <w:rPr>
          <w:rFonts w:ascii="Times New Roman;serif" w:hAnsi="Times New Roman;serif"/>
          <w:szCs w:val="28"/>
        </w:rPr>
        <w:t>Д</w:t>
      </w:r>
      <w:r>
        <w:rPr>
          <w:rFonts w:ascii="Times New Roman;serif" w:hAnsi="Times New Roman;serif"/>
          <w:position w:val="-8"/>
          <w:szCs w:val="28"/>
        </w:rPr>
        <w:t>плпериод1</w:t>
      </w:r>
      <w:r>
        <w:rPr>
          <w:rFonts w:ascii="Times New Roman;serif" w:hAnsi="Times New Roman;serif"/>
          <w:szCs w:val="28"/>
        </w:rPr>
        <w:t>, Д</w:t>
      </w:r>
      <w:r>
        <w:rPr>
          <w:rFonts w:ascii="Times New Roman;serif" w:hAnsi="Times New Roman;serif"/>
          <w:position w:val="-8"/>
          <w:szCs w:val="28"/>
        </w:rPr>
        <w:t>плпериод2</w:t>
      </w:r>
      <w:r>
        <w:rPr>
          <w:position w:val="-8"/>
          <w:szCs w:val="28"/>
        </w:rPr>
        <w:t xml:space="preserve"> </w:t>
      </w:r>
      <w:r>
        <w:rPr>
          <w:rFonts w:ascii="Times New Roman;serif" w:hAnsi="Times New Roman;serif"/>
          <w:szCs w:val="28"/>
        </w:rPr>
        <w:t xml:space="preserve">- </w:t>
      </w:r>
      <w:r>
        <w:rPr>
          <w:rFonts w:ascii="Times New Roman;serif" w:hAnsi="Times New Roman;serif"/>
          <w:color w:val="1A171B"/>
          <w:szCs w:val="28"/>
        </w:rPr>
        <w:t xml:space="preserve">поступление </w:t>
      </w:r>
      <w:r>
        <w:rPr>
          <w:color w:val="000000"/>
        </w:rPr>
        <w:t>от  штрафов, санкций, возмещения ущерба</w:t>
      </w:r>
      <w:r>
        <w:rPr>
          <w:rFonts w:ascii="Times New Roman;serif" w:hAnsi="Times New Roman;serif"/>
          <w:color w:val="1A171B"/>
          <w:szCs w:val="28"/>
        </w:rPr>
        <w:t xml:space="preserve"> </w:t>
      </w:r>
      <w:r>
        <w:rPr>
          <w:rFonts w:ascii="Times New Roman;serif" w:hAnsi="Times New Roman;serif"/>
          <w:szCs w:val="28"/>
        </w:rPr>
        <w:t>в плановом периоде;</w:t>
      </w:r>
    </w:p>
    <w:p>
      <w:pPr>
        <w:pStyle w:val="Style16"/>
        <w:ind w:firstLine="708"/>
        <w:rPr>
          <w:szCs w:val="28"/>
        </w:rPr>
      </w:pPr>
      <w:r>
        <w:rPr>
          <w:rFonts w:ascii="Times New Roman;serif" w:hAnsi="Times New Roman;serif"/>
          <w:szCs w:val="28"/>
        </w:rPr>
        <w:t>К</w:t>
      </w:r>
      <w:r>
        <w:rPr>
          <w:szCs w:val="28"/>
        </w:rPr>
        <w:t xml:space="preserve"> </w:t>
      </w:r>
      <w:r>
        <w:rPr>
          <w:rFonts w:ascii="Times New Roman;serif" w:hAnsi="Times New Roman;serif"/>
          <w:szCs w:val="28"/>
        </w:rPr>
        <w:t>- дополнительные (выпадающие со знаком «-») доходы бюджета, связанные с изменением законодательства или иными причинами.</w:t>
      </w:r>
    </w:p>
    <w:p>
      <w:pPr>
        <w:pStyle w:val="Style16"/>
        <w:rPr>
          <w:color w:val="000000"/>
        </w:rPr>
      </w:pPr>
      <w:r>
        <w:rPr>
          <w:color w:val="000000"/>
        </w:rPr>
      </w:r>
    </w:p>
    <w:p>
      <w:pPr>
        <w:pStyle w:val="ConsPlusNormal"/>
        <w:ind w:left="-15" w:firstLine="840"/>
        <w:jc w:val="center"/>
        <w:rPr>
          <w:b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5. Методика прогнозирования поступлений</w:t>
      </w:r>
      <w:r>
        <w:rPr>
          <w:b/>
          <w:color w:val="000000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доходов от компенсации затрат государства в областной бюджет</w:t>
      </w:r>
    </w:p>
    <w:p>
      <w:pPr>
        <w:pStyle w:val="ConsPlusNormal"/>
        <w:ind w:left="-15" w:firstLine="840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ind w:left="-15" w:firstLine="840"/>
        <w:rPr>
          <w:szCs w:val="28"/>
        </w:rPr>
      </w:pPr>
      <w:r>
        <w:rPr>
          <w:color w:val="000000"/>
          <w:szCs w:val="28"/>
        </w:rPr>
        <w:t>Прогнозирование доходов от компенсации затрат государства осуществляется на основании усреднения годовых объемов доходов не менее чем за 3 года или за весь период поступления соответствующего вида доходов в случае, если он не превышает 3 года.</w:t>
      </w:r>
    </w:p>
    <w:p>
      <w:pPr>
        <w:pStyle w:val="Style28"/>
        <w:ind w:left="-15" w:firstLine="840"/>
        <w:rPr>
          <w:color w:val="000000"/>
          <w:szCs w:val="28"/>
        </w:rPr>
      </w:pPr>
      <w:r>
        <w:rPr>
          <w:color w:val="000000"/>
          <w:szCs w:val="28"/>
        </w:rPr>
        <w:t>К доходам от компенсации затрат государства, главным администратором которых является Департамент ветеринарии Томской области относятся доходы по коду:</w:t>
      </w:r>
    </w:p>
    <w:p>
      <w:pPr>
        <w:pStyle w:val="Style28"/>
        <w:ind w:left="-15" w:firstLine="840"/>
        <w:rPr>
          <w:szCs w:val="28"/>
        </w:rPr>
      </w:pPr>
      <w:r>
        <w:rPr>
          <w:rFonts w:eastAsia="Times New Roman" w:cs="Times New Roman"/>
          <w:color w:val="000000"/>
          <w:szCs w:val="28"/>
        </w:rPr>
        <w:t>- 818 1 13 02992 02 0000 130 - Прочие доходы от компенсации затрат бюджетов субъектов Российской Федерации;</w:t>
      </w:r>
    </w:p>
    <w:p>
      <w:pPr>
        <w:pStyle w:val="Style28"/>
        <w:ind w:left="-15" w:firstLine="840"/>
        <w:rPr>
          <w:color w:val="000000"/>
        </w:rPr>
      </w:pPr>
      <w:r>
        <w:rPr>
          <w:color w:val="000000"/>
        </w:rPr>
        <w:t>Источником данных для соответствующего показателя является отчет  об исполнении бюджета  главного распорядителя, распорядителя, получателя бюджетных средств, главного администратора, администратора источников финансирования главного администратора, администратора доходов бюджета (форма 0503127).</w:t>
      </w:r>
    </w:p>
    <w:p>
      <w:pPr>
        <w:pStyle w:val="Style16"/>
        <w:rPr>
          <w:color w:val="000000"/>
        </w:rPr>
      </w:pPr>
      <w:r>
        <w:rPr>
          <w:rFonts w:ascii="Times New Roman;serif" w:hAnsi="Times New Roman;serif"/>
          <w:color w:val="000000"/>
          <w:sz w:val="26"/>
        </w:rPr>
        <w:tab/>
      </w:r>
      <w:r>
        <w:rPr>
          <w:color w:val="000000"/>
          <w:u w:val="single"/>
        </w:rPr>
        <w:t>Поступления доходов в областной бюджет от  компенсации затрат государства в текущем финансовом году</w:t>
      </w:r>
      <w:r>
        <w:rPr>
          <w:color w:val="000000"/>
        </w:rPr>
        <w:t xml:space="preserve"> рассчитывается по формуле:</w:t>
      </w:r>
    </w:p>
    <w:p>
      <w:pPr>
        <w:pStyle w:val="Style16"/>
        <w:rPr>
          <w:color w:val="000000"/>
        </w:rPr>
      </w:pPr>
      <w:r>
        <w:rPr>
          <w:color w:val="000000"/>
        </w:rPr>
      </w:r>
    </w:p>
    <w:p>
      <w:pPr>
        <w:pStyle w:val="Style16"/>
        <w:jc w:val="center"/>
        <w:rPr>
          <w:rFonts w:cs="Times New Roman"/>
          <w:color w:val="000000"/>
        </w:rPr>
      </w:pPr>
      <w:r>
        <w:rPr>
          <w:color w:val="000000"/>
        </w:rPr>
        <w:t>Д</w:t>
      </w:r>
      <w:r>
        <w:rPr>
          <w:color w:val="000000"/>
          <w:vertAlign w:val="subscript"/>
        </w:rPr>
        <w:t>кз</w:t>
      </w:r>
      <w:r>
        <w:rPr>
          <w:color w:val="000000"/>
        </w:rPr>
        <w:t>= ((Д</w:t>
      </w:r>
      <w:r>
        <w:rPr>
          <w:color w:val="000000"/>
          <w:vertAlign w:val="subscript"/>
        </w:rPr>
        <w:t>кз1</w:t>
      </w:r>
      <w:r>
        <w:rPr>
          <w:color w:val="000000"/>
        </w:rPr>
        <w:t>/12+Д</w:t>
      </w:r>
      <w:r>
        <w:rPr>
          <w:color w:val="000000"/>
          <w:vertAlign w:val="subscript"/>
        </w:rPr>
        <w:t>кз2</w:t>
      </w:r>
      <w:r>
        <w:rPr>
          <w:color w:val="000000"/>
        </w:rPr>
        <w:t>/12+Д</w:t>
      </w:r>
      <w:r>
        <w:rPr>
          <w:color w:val="000000"/>
          <w:vertAlign w:val="subscript"/>
        </w:rPr>
        <w:t>кз3</w:t>
      </w:r>
      <w:r>
        <w:rPr>
          <w:color w:val="000000"/>
        </w:rPr>
        <w:t>/12+Д</w:t>
      </w:r>
      <w:r>
        <w:rPr>
          <w:color w:val="000000"/>
          <w:vertAlign w:val="subscript"/>
        </w:rPr>
        <w:t>кз_</w:t>
      </w:r>
      <w:r>
        <w:rPr>
          <w:color w:val="000000"/>
          <w:vertAlign w:val="subscript"/>
          <w:lang w:val="en-US"/>
        </w:rPr>
        <w:t>n</w:t>
      </w:r>
      <w:r>
        <w:rPr>
          <w:color w:val="000000"/>
        </w:rPr>
        <w:t>/12+Д</w:t>
      </w:r>
      <w:r>
        <w:rPr>
          <w:color w:val="000000"/>
          <w:vertAlign w:val="subscript"/>
        </w:rPr>
        <w:t>кз_текфингод</w:t>
      </w:r>
      <w:r>
        <w:rPr>
          <w:color w:val="000000"/>
        </w:rPr>
        <w:t>/</w:t>
      </w:r>
      <w:r>
        <w:rPr>
          <w:color w:val="000000"/>
          <w:lang w:val="en-US"/>
        </w:rPr>
        <w:t>d</w:t>
      </w:r>
      <w:r>
        <w:rPr>
          <w:color w:val="000000"/>
        </w:rPr>
        <w:t xml:space="preserve">) / </w:t>
      </w:r>
      <w:r>
        <w:rPr>
          <w:color w:val="000000"/>
          <w:lang w:val="en-US"/>
        </w:rPr>
        <w:t>n</w:t>
      </w:r>
      <w:r>
        <w:rPr>
          <w:color w:val="000000"/>
        </w:rPr>
        <w:t xml:space="preserve">) </w:t>
      </w:r>
      <w:r>
        <w:rPr>
          <w:rFonts w:cs="Times New Roman"/>
          <w:color w:val="000000"/>
        </w:rPr>
        <w:t xml:space="preserve">× </w:t>
      </w:r>
      <w:r>
        <w:rPr>
          <w:color w:val="000000"/>
        </w:rPr>
        <w:t xml:space="preserve">12 </w:t>
      </w:r>
      <w:r>
        <w:rPr>
          <w:rFonts w:cs="Times New Roman"/>
          <w:color w:val="000000"/>
        </w:rPr>
        <w:t xml:space="preserve">± К, </w:t>
      </w:r>
    </w:p>
    <w:p>
      <w:pPr>
        <w:pStyle w:val="Style16"/>
        <w:jc w:val="center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Style16"/>
        <w:ind w:firstLine="708"/>
        <w:rPr>
          <w:color w:val="000000"/>
        </w:rPr>
      </w:pPr>
      <w:r>
        <w:rPr>
          <w:rFonts w:cs="Times New Roman"/>
          <w:color w:val="000000"/>
        </w:rPr>
        <w:t>где:</w:t>
      </w:r>
      <w:r>
        <w:rPr>
          <w:color w:val="000000"/>
        </w:rPr>
        <w:tab/>
        <w:tab/>
      </w:r>
    </w:p>
    <w:p>
      <w:pPr>
        <w:pStyle w:val="Style16"/>
        <w:ind w:firstLine="708"/>
        <w:rPr>
          <w:color w:val="000000"/>
        </w:rPr>
      </w:pPr>
      <w:r>
        <w:rPr>
          <w:color w:val="000000"/>
        </w:rPr>
        <w:t>Д</w:t>
      </w:r>
      <w:r>
        <w:rPr>
          <w:color w:val="000000"/>
          <w:position w:val="-8"/>
        </w:rPr>
        <w:t>кз</w:t>
      </w:r>
      <w:r>
        <w:rPr>
          <w:color w:val="000000"/>
        </w:rPr>
        <w:t xml:space="preserve"> – доходы</w:t>
      </w:r>
      <w:r>
        <w:rPr>
          <w:color w:val="000000"/>
          <w:szCs w:val="28"/>
        </w:rPr>
        <w:t xml:space="preserve"> от компенсации затрат государства</w:t>
      </w:r>
      <w:r>
        <w:rPr>
          <w:color w:val="000000"/>
        </w:rPr>
        <w:t>;</w:t>
      </w:r>
    </w:p>
    <w:p>
      <w:pPr>
        <w:pStyle w:val="Style16"/>
        <w:ind w:firstLine="708"/>
        <w:rPr>
          <w:color w:val="000000"/>
        </w:rPr>
      </w:pPr>
      <w:r>
        <w:rPr>
          <w:color w:val="000000"/>
        </w:rPr>
        <w:t>Д</w:t>
      </w:r>
      <w:r>
        <w:rPr>
          <w:color w:val="000000"/>
          <w:position w:val="-8"/>
        </w:rPr>
        <w:t>кз1(2, 3…n)</w:t>
      </w:r>
      <w:r>
        <w:rPr>
          <w:color w:val="000000"/>
        </w:rPr>
        <w:t xml:space="preserve"> – доходы</w:t>
      </w:r>
      <w:r>
        <w:rPr>
          <w:color w:val="000000"/>
          <w:szCs w:val="28"/>
        </w:rPr>
        <w:t xml:space="preserve"> от компенсации затрат государства </w:t>
      </w:r>
      <w:r>
        <w:rPr>
          <w:color w:val="000000"/>
        </w:rPr>
        <w:t>за 1, 2, 3, n-й год из предшествующих прогнозируемому периоду;</w:t>
      </w:r>
    </w:p>
    <w:p>
      <w:pPr>
        <w:pStyle w:val="Style16"/>
        <w:ind w:firstLine="708"/>
        <w:rPr>
          <w:color w:val="000000"/>
        </w:rPr>
      </w:pPr>
      <w:r>
        <w:rPr>
          <w:rFonts w:cs="Times New Roman"/>
          <w:szCs w:val="28"/>
          <w:lang w:val="en-US"/>
        </w:rPr>
        <w:t>d</w:t>
      </w:r>
      <w:r>
        <w:rPr>
          <w:rFonts w:cs="Times New Roman"/>
          <w:szCs w:val="28"/>
        </w:rPr>
        <w:t xml:space="preserve"> – количество месяцев с начала года до месяца, в котором рассчитывается оценка;</w:t>
      </w:r>
    </w:p>
    <w:p>
      <w:pPr>
        <w:pStyle w:val="Style16"/>
        <w:rPr>
          <w:color w:val="000000"/>
        </w:rPr>
      </w:pPr>
      <w:r>
        <w:rPr>
          <w:color w:val="000000"/>
        </w:rPr>
        <w:tab/>
        <w:t>n – количество лет, используемых для расчета показателя;</w:t>
      </w:r>
    </w:p>
    <w:p>
      <w:pPr>
        <w:pStyle w:val="Style16"/>
        <w:ind w:firstLine="709"/>
        <w:rPr>
          <w:color w:val="000000"/>
        </w:rPr>
      </w:pPr>
      <w:r>
        <w:rPr>
          <w:color w:val="000000"/>
          <w:position w:val="-8"/>
        </w:rPr>
        <w:t>Д</w:t>
      </w:r>
      <w:r>
        <w:rPr>
          <w:color w:val="000000"/>
          <w:vertAlign w:val="subscript"/>
        </w:rPr>
        <w:t>кз_текфингод</w:t>
      </w:r>
      <w:r>
        <w:rPr>
          <w:color w:val="000000"/>
          <w:position w:val="-8"/>
        </w:rPr>
        <w:t xml:space="preserve"> </w:t>
      </w:r>
      <w:r>
        <w:rPr>
          <w:rFonts w:cs="Times New Roman"/>
        </w:rPr>
        <w:t>- фактическое поступление сумм</w:t>
      </w:r>
      <w:r>
        <w:rPr>
          <w:rFonts w:cs="Times New Roman"/>
          <w:color w:val="1A171B"/>
        </w:rPr>
        <w:t xml:space="preserve"> </w:t>
      </w:r>
      <w:r>
        <w:rPr>
          <w:color w:val="000000"/>
        </w:rPr>
        <w:t>доходов</w:t>
      </w:r>
      <w:r>
        <w:rPr>
          <w:color w:val="000000"/>
          <w:szCs w:val="28"/>
        </w:rPr>
        <w:t xml:space="preserve"> от компенсации затрат государства</w:t>
      </w:r>
      <w:r>
        <w:rPr>
          <w:rFonts w:cs="Times New Roman"/>
        </w:rPr>
        <w:t xml:space="preserve"> на 1-е число месяца текущего финансового года, в котором рассчитывается оценка (нарастающим итогом с начала текущего финансового года);</w:t>
      </w:r>
    </w:p>
    <w:p>
      <w:pPr>
        <w:pStyle w:val="Style16"/>
        <w:rPr/>
      </w:pPr>
      <w:r>
        <w:rPr>
          <w:color w:val="000000"/>
        </w:rPr>
        <w:tab/>
      </w:r>
      <w:r>
        <w:rPr>
          <w:color w:val="000000"/>
          <w:lang w:val="en-US"/>
        </w:rPr>
        <w:t>K</w:t>
      </w:r>
      <w:r>
        <w:rPr>
          <w:color w:val="000000"/>
        </w:rPr>
        <w:t xml:space="preserve"> - дополнительные (выпадающие со знаком «-») доходы бюджета, связанные с изменением корректировкой доходов на сумму неисполнения / превышения планового  объема от их фактического исполнения.</w:t>
      </w:r>
    </w:p>
    <w:p>
      <w:pPr>
        <w:pStyle w:val="Style16"/>
        <w:rPr/>
      </w:pPr>
      <w:r>
        <w:rPr>
          <w:color w:val="FF3333"/>
        </w:rPr>
        <w:tab/>
      </w:r>
      <w:r>
        <w:rPr>
          <w:color w:val="000000"/>
          <w:u w:val="single"/>
        </w:rPr>
        <w:t xml:space="preserve">Поступления  в областной бюджет </w:t>
      </w:r>
      <w:r>
        <w:rPr>
          <w:color w:val="000000"/>
          <w:szCs w:val="28"/>
          <w:u w:val="single"/>
        </w:rPr>
        <w:t>от компенсации затрат государства</w:t>
      </w:r>
      <w:r>
        <w:rPr>
          <w:color w:val="000000"/>
          <w:szCs w:val="28"/>
        </w:rPr>
        <w:t xml:space="preserve"> </w:t>
      </w:r>
      <w:r>
        <w:rPr>
          <w:color w:val="000000"/>
          <w:u w:val="single"/>
        </w:rPr>
        <w:t xml:space="preserve">на очередной финансовый год и плановый период  </w:t>
      </w:r>
      <w:r>
        <w:rPr>
          <w:color w:val="000000"/>
        </w:rPr>
        <w:t xml:space="preserve"> рассчитывается по формуле:</w:t>
      </w:r>
    </w:p>
    <w:p>
      <w:pPr>
        <w:pStyle w:val="Style16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Style16"/>
        <w:rPr>
          <w:color w:val="000000"/>
          <w:szCs w:val="28"/>
        </w:rPr>
      </w:pPr>
      <w:r>
        <w:rPr>
          <w:color w:val="000000"/>
          <w:szCs w:val="28"/>
        </w:rPr>
        <w:t xml:space="preserve">Очередной финансовый год: </w:t>
      </w:r>
      <w:r>
        <w:rPr>
          <w:b/>
          <w:color w:val="000000"/>
          <w:szCs w:val="28"/>
        </w:rPr>
        <w:t>Д</w:t>
      </w:r>
      <w:r>
        <w:rPr>
          <w:b/>
          <w:color w:val="000000"/>
          <w:position w:val="-8"/>
          <w:szCs w:val="28"/>
        </w:rPr>
        <w:t xml:space="preserve">очерфингод </w:t>
      </w:r>
      <w:r>
        <w:rPr>
          <w:b/>
          <w:color w:val="000000"/>
          <w:szCs w:val="28"/>
        </w:rPr>
        <w:t xml:space="preserve">= </w:t>
      </w:r>
      <w:r>
        <w:rPr>
          <w:color w:val="000000"/>
        </w:rPr>
        <w:t>Д</w:t>
      </w:r>
      <w:r>
        <w:rPr>
          <w:color w:val="000000"/>
          <w:position w:val="-8"/>
        </w:rPr>
        <w:t>кз</w:t>
      </w:r>
      <w:r>
        <w:rPr>
          <w:b/>
          <w:color w:val="000000"/>
          <w:szCs w:val="28"/>
        </w:rPr>
        <w:t>× ИПЦ</w:t>
      </w:r>
      <w:r>
        <w:rPr>
          <w:b/>
          <w:color w:val="000000"/>
          <w:position w:val="-8"/>
          <w:szCs w:val="28"/>
        </w:rPr>
        <w:t>очерфингод</w:t>
      </w:r>
      <w:r>
        <w:rPr>
          <w:b/>
          <w:color w:val="000000"/>
          <w:szCs w:val="28"/>
        </w:rPr>
        <w:t xml:space="preserve"> +/- К</w:t>
      </w:r>
    </w:p>
    <w:p>
      <w:pPr>
        <w:pStyle w:val="Style16"/>
        <w:rPr>
          <w:rFonts w:ascii="Times New Roman;serif" w:hAnsi="Times New Roman;serif"/>
          <w:szCs w:val="28"/>
        </w:rPr>
      </w:pPr>
      <w:r>
        <w:rPr>
          <w:rFonts w:ascii="Times New Roman;serif" w:hAnsi="Times New Roman;serif"/>
          <w:szCs w:val="28"/>
        </w:rPr>
        <w:t xml:space="preserve">Плановый период 1: </w:t>
      </w:r>
      <w:r>
        <w:rPr>
          <w:rFonts w:ascii="Times New Roman;serif" w:hAnsi="Times New Roman;serif"/>
          <w:b/>
          <w:szCs w:val="28"/>
        </w:rPr>
        <w:t>Д</w:t>
      </w:r>
      <w:r>
        <w:rPr>
          <w:rFonts w:ascii="Times New Roman;serif" w:hAnsi="Times New Roman;serif"/>
          <w:b/>
          <w:position w:val="-8"/>
          <w:szCs w:val="28"/>
        </w:rPr>
        <w:t xml:space="preserve">плпериод1 </w:t>
      </w:r>
      <w:r>
        <w:rPr>
          <w:rFonts w:ascii="Times New Roman;serif" w:hAnsi="Times New Roman;serif"/>
          <w:b/>
          <w:szCs w:val="28"/>
        </w:rPr>
        <w:t>= Д</w:t>
      </w:r>
      <w:r>
        <w:rPr>
          <w:rFonts w:ascii="Times New Roman;serif" w:hAnsi="Times New Roman;serif"/>
          <w:b/>
          <w:position w:val="-8"/>
          <w:szCs w:val="28"/>
        </w:rPr>
        <w:t xml:space="preserve">очерфингод </w:t>
      </w:r>
      <w:r>
        <w:rPr>
          <w:rFonts w:ascii="Times New Roman;serif" w:hAnsi="Times New Roman;serif"/>
          <w:b/>
          <w:szCs w:val="28"/>
        </w:rPr>
        <w:t>× ИПЦ</w:t>
      </w:r>
      <w:r>
        <w:rPr>
          <w:rFonts w:ascii="Times New Roman;serif" w:hAnsi="Times New Roman;serif"/>
          <w:b/>
          <w:position w:val="-8"/>
          <w:szCs w:val="28"/>
        </w:rPr>
        <w:t xml:space="preserve">плпериод1 </w:t>
      </w:r>
      <w:r>
        <w:rPr>
          <w:rFonts w:ascii="Times New Roman;serif" w:hAnsi="Times New Roman;serif"/>
          <w:b/>
          <w:szCs w:val="28"/>
        </w:rPr>
        <w:t>+/- К</w:t>
      </w:r>
    </w:p>
    <w:p>
      <w:pPr>
        <w:pStyle w:val="Style16"/>
        <w:rPr>
          <w:rFonts w:ascii="Times New Roman;serif" w:hAnsi="Times New Roman;serif"/>
          <w:szCs w:val="28"/>
        </w:rPr>
      </w:pPr>
      <w:r>
        <w:rPr>
          <w:rFonts w:ascii="Times New Roman;serif" w:hAnsi="Times New Roman;serif"/>
          <w:szCs w:val="28"/>
        </w:rPr>
        <w:t xml:space="preserve">Плановый период 2: </w:t>
      </w:r>
      <w:r>
        <w:rPr>
          <w:rFonts w:ascii="Times New Roman;serif" w:hAnsi="Times New Roman;serif"/>
          <w:b/>
          <w:szCs w:val="28"/>
        </w:rPr>
        <w:t>Д</w:t>
      </w:r>
      <w:r>
        <w:rPr>
          <w:rFonts w:ascii="Times New Roman;serif" w:hAnsi="Times New Roman;serif"/>
          <w:b/>
          <w:position w:val="-8"/>
          <w:szCs w:val="28"/>
        </w:rPr>
        <w:t xml:space="preserve">плпериод2 </w:t>
      </w:r>
      <w:r>
        <w:rPr>
          <w:rFonts w:ascii="Times New Roman;serif" w:hAnsi="Times New Roman;serif"/>
          <w:b/>
          <w:szCs w:val="28"/>
        </w:rPr>
        <w:t>= Д</w:t>
      </w:r>
      <w:r>
        <w:rPr>
          <w:rFonts w:ascii="Times New Roman;serif" w:hAnsi="Times New Roman;serif"/>
          <w:b/>
          <w:position w:val="-8"/>
          <w:szCs w:val="28"/>
        </w:rPr>
        <w:t xml:space="preserve">плпериод1 </w:t>
      </w:r>
      <w:r>
        <w:rPr>
          <w:rFonts w:ascii="Times New Roman;serif" w:hAnsi="Times New Roman;serif"/>
          <w:b/>
          <w:szCs w:val="28"/>
        </w:rPr>
        <w:t>× ИПЦ</w:t>
      </w:r>
      <w:r>
        <w:rPr>
          <w:rFonts w:ascii="Times New Roman;serif" w:hAnsi="Times New Roman;serif"/>
          <w:b/>
          <w:position w:val="-8"/>
          <w:szCs w:val="28"/>
        </w:rPr>
        <w:t xml:space="preserve">плпериод2 </w:t>
      </w:r>
      <w:r>
        <w:rPr>
          <w:rFonts w:ascii="Times New Roman;serif" w:hAnsi="Times New Roman;serif"/>
          <w:b/>
          <w:szCs w:val="28"/>
        </w:rPr>
        <w:t>+/- К</w:t>
      </w:r>
    </w:p>
    <w:p>
      <w:pPr>
        <w:pStyle w:val="Style16"/>
        <w:ind w:firstLine="708"/>
        <w:rPr>
          <w:rFonts w:ascii="Times New Roman;serif" w:hAnsi="Times New Roman;serif"/>
          <w:szCs w:val="28"/>
        </w:rPr>
      </w:pPr>
      <w:r>
        <w:rPr>
          <w:rFonts w:ascii="Times New Roman;serif" w:hAnsi="Times New Roman;serif"/>
          <w:szCs w:val="28"/>
        </w:rPr>
      </w:r>
    </w:p>
    <w:p>
      <w:pPr>
        <w:pStyle w:val="Style16"/>
        <w:ind w:firstLine="708"/>
        <w:rPr>
          <w:rFonts w:ascii="Times New Roman;serif" w:hAnsi="Times New Roman;serif"/>
          <w:szCs w:val="28"/>
        </w:rPr>
      </w:pPr>
      <w:r>
        <w:rPr>
          <w:rFonts w:ascii="Times New Roman;serif" w:hAnsi="Times New Roman;serif"/>
          <w:szCs w:val="28"/>
        </w:rPr>
        <w:t>где:</w:t>
      </w:r>
    </w:p>
    <w:p>
      <w:pPr>
        <w:pStyle w:val="Style16"/>
        <w:ind w:firstLine="708"/>
        <w:rPr>
          <w:rFonts w:ascii="Times New Roman;serif" w:hAnsi="Times New Roman;serif"/>
          <w:szCs w:val="28"/>
        </w:rPr>
      </w:pPr>
      <w:r>
        <w:rPr>
          <w:color w:val="000000"/>
        </w:rPr>
        <w:t>Д</w:t>
      </w:r>
      <w:r>
        <w:rPr>
          <w:color w:val="000000"/>
          <w:position w:val="-8"/>
        </w:rPr>
        <w:t>кз</w:t>
      </w:r>
      <w:r>
        <w:rPr>
          <w:color w:val="000000"/>
        </w:rPr>
        <w:t>– доходы</w:t>
      </w:r>
      <w:r>
        <w:rPr>
          <w:color w:val="000000"/>
          <w:szCs w:val="28"/>
        </w:rPr>
        <w:t xml:space="preserve"> от компенсации затрат государства текущего финансового года;</w:t>
      </w:r>
    </w:p>
    <w:p>
      <w:pPr>
        <w:pStyle w:val="Style16"/>
        <w:rPr>
          <w:szCs w:val="28"/>
        </w:rPr>
      </w:pPr>
      <w:r>
        <w:rPr>
          <w:b/>
          <w:color w:val="000000"/>
          <w:szCs w:val="28"/>
        </w:rPr>
        <w:tab/>
      </w:r>
      <w:r>
        <w:rPr>
          <w:color w:val="000000"/>
          <w:szCs w:val="28"/>
        </w:rPr>
        <w:t>Д</w:t>
      </w:r>
      <w:r>
        <w:rPr>
          <w:color w:val="000000"/>
          <w:position w:val="-8"/>
          <w:szCs w:val="28"/>
        </w:rPr>
        <w:t xml:space="preserve">очерфингод  </w:t>
      </w:r>
      <w:r>
        <w:rPr>
          <w:rFonts w:ascii="Times New Roman;serif" w:hAnsi="Times New Roman;serif"/>
          <w:szCs w:val="28"/>
        </w:rPr>
        <w:t xml:space="preserve">- поступления </w:t>
      </w:r>
      <w:r>
        <w:rPr>
          <w:color w:val="000000"/>
          <w:szCs w:val="28"/>
        </w:rPr>
        <w:t>от компенсации затрат государства</w:t>
      </w:r>
      <w:r>
        <w:rPr>
          <w:rFonts w:ascii="Times New Roman;serif" w:hAnsi="Times New Roman;serif"/>
          <w:szCs w:val="28"/>
        </w:rPr>
        <w:t xml:space="preserve"> в очередном финансовом году;</w:t>
      </w:r>
    </w:p>
    <w:p>
      <w:pPr>
        <w:pStyle w:val="Style16"/>
        <w:ind w:firstLine="708"/>
        <w:rPr>
          <w:szCs w:val="28"/>
        </w:rPr>
      </w:pPr>
      <w:r>
        <w:rPr>
          <w:rFonts w:ascii="Times New Roman;serif" w:hAnsi="Times New Roman;serif"/>
          <w:szCs w:val="28"/>
        </w:rPr>
        <w:t>Д</w:t>
      </w:r>
      <w:r>
        <w:rPr>
          <w:rFonts w:ascii="Times New Roman;serif" w:hAnsi="Times New Roman;serif"/>
          <w:position w:val="-8"/>
          <w:szCs w:val="28"/>
        </w:rPr>
        <w:t>плпериод1</w:t>
      </w:r>
      <w:r>
        <w:rPr>
          <w:rFonts w:ascii="Times New Roman;serif" w:hAnsi="Times New Roman;serif"/>
          <w:szCs w:val="28"/>
        </w:rPr>
        <w:t>, Д</w:t>
      </w:r>
      <w:r>
        <w:rPr>
          <w:rFonts w:ascii="Times New Roman;serif" w:hAnsi="Times New Roman;serif"/>
          <w:position w:val="-8"/>
          <w:szCs w:val="28"/>
        </w:rPr>
        <w:t>плпериод2</w:t>
      </w:r>
      <w:r>
        <w:rPr>
          <w:position w:val="-8"/>
          <w:szCs w:val="28"/>
        </w:rPr>
        <w:t xml:space="preserve"> </w:t>
      </w:r>
      <w:r>
        <w:rPr>
          <w:rFonts w:ascii="Times New Roman;serif" w:hAnsi="Times New Roman;serif"/>
          <w:szCs w:val="28"/>
        </w:rPr>
        <w:t xml:space="preserve">- </w:t>
      </w:r>
      <w:r>
        <w:rPr>
          <w:rFonts w:ascii="Times New Roman;serif" w:hAnsi="Times New Roman;serif"/>
          <w:color w:val="1A171B"/>
          <w:szCs w:val="28"/>
        </w:rPr>
        <w:t xml:space="preserve">поступление </w:t>
      </w:r>
      <w:r>
        <w:rPr>
          <w:color w:val="000000"/>
          <w:szCs w:val="28"/>
        </w:rPr>
        <w:t>от компенсации затрат государства</w:t>
      </w:r>
      <w:r>
        <w:rPr>
          <w:rFonts w:ascii="Times New Roman;serif" w:hAnsi="Times New Roman;serif"/>
          <w:szCs w:val="28"/>
        </w:rPr>
        <w:t xml:space="preserve"> в плановом периоде;</w:t>
      </w:r>
    </w:p>
    <w:p>
      <w:pPr>
        <w:pStyle w:val="Style16"/>
        <w:ind w:firstLine="708"/>
        <w:rPr>
          <w:szCs w:val="28"/>
        </w:rPr>
      </w:pPr>
      <w:r>
        <w:rPr>
          <w:rFonts w:ascii="Times New Roman;serif" w:hAnsi="Times New Roman;serif"/>
          <w:szCs w:val="28"/>
        </w:rPr>
        <w:t>К</w:t>
      </w:r>
      <w:r>
        <w:rPr>
          <w:szCs w:val="28"/>
        </w:rPr>
        <w:t xml:space="preserve"> </w:t>
      </w:r>
      <w:r>
        <w:rPr>
          <w:rFonts w:ascii="Times New Roman;serif" w:hAnsi="Times New Roman;serif"/>
          <w:szCs w:val="28"/>
        </w:rPr>
        <w:t>- дополнительные (выпадающие со знаком «-») доходы бюджета, связанные с изменением законодательства или иными причинами.</w:t>
      </w:r>
    </w:p>
    <w:p>
      <w:pPr>
        <w:pStyle w:val="Style16"/>
        <w:rPr>
          <w:color w:val="000000"/>
        </w:rPr>
      </w:pPr>
      <w:r>
        <w:rPr>
          <w:color w:val="000000"/>
        </w:rPr>
      </w:r>
    </w:p>
    <w:p>
      <w:pPr>
        <w:pStyle w:val="Style16"/>
        <w:ind w:left="-15" w:firstLine="840"/>
        <w:jc w:val="center"/>
        <w:rPr>
          <w:b/>
          <w:b/>
          <w:color w:val="000000"/>
          <w:szCs w:val="28"/>
        </w:rPr>
      </w:pPr>
      <w:r>
        <w:rPr>
          <w:b/>
          <w:color w:val="000000"/>
          <w:szCs w:val="28"/>
        </w:rPr>
        <w:t>6. Методика прогнозирования поступлений доходов в муниципальные</w:t>
      </w:r>
      <w:r>
        <w:rPr>
          <w:color w:val="000000"/>
          <w:szCs w:val="28"/>
        </w:rPr>
        <w:t xml:space="preserve"> </w:t>
      </w:r>
      <w:r>
        <w:rPr>
          <w:b/>
          <w:color w:val="000000"/>
          <w:szCs w:val="28"/>
        </w:rPr>
        <w:t>бюджеты от штрафов, санкций, возмещения ущерба</w:t>
      </w:r>
    </w:p>
    <w:p>
      <w:pPr>
        <w:pStyle w:val="Style16"/>
        <w:ind w:left="-15" w:firstLine="840"/>
        <w:jc w:val="center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Style16"/>
        <w:ind w:left="-15" w:firstLine="840"/>
        <w:rPr>
          <w:szCs w:val="28"/>
        </w:rPr>
      </w:pPr>
      <w:r>
        <w:rPr>
          <w:color w:val="000000"/>
          <w:szCs w:val="28"/>
        </w:rPr>
        <w:t>Прогнозирование прочих поступлений от денежных взысканий (штрафов) и иных сумм в возмещение ущерба, зачисляемые в бюджеты городских округов (818 1 16 90040 04 0000 140) и зачисляемые в бюджеты муниципальных районов (818 1 16 90050 05 0000 140) осуществляется на основании усреднения годовых объемов доходов не менее чем за 3 года или за весь период поступления соответствующего вида доходов в случае, если он не превышает 3 года, с учётом изменений, запланированных на очередной год и плановый период.</w:t>
      </w:r>
    </w:p>
    <w:p>
      <w:pPr>
        <w:pStyle w:val="Style16"/>
        <w:ind w:left="-15" w:firstLine="840"/>
        <w:rPr>
          <w:color w:val="000000"/>
        </w:rPr>
      </w:pPr>
      <w:r>
        <w:rPr>
          <w:color w:val="000000"/>
        </w:rPr>
        <w:t>К доходам от  прочих поступлений от денежных взысканий (штрафов) и иных сумм в возмещение ущерба, зачисляемые в бюджеты городских округов (818 1 16 90040 04 0000 140) и зачисляемые в бюджеты муниципальных районов (818 1 16 90050 05 0000 140) относятся доходы, поступающие в муниципальные бюджеты в виде штрафов за правонарушения в сфере ветеринарного законодательства.</w:t>
      </w:r>
    </w:p>
    <w:p>
      <w:pPr>
        <w:pStyle w:val="Style16"/>
        <w:rPr>
          <w:color w:val="000000"/>
        </w:rPr>
      </w:pPr>
      <w:r>
        <w:rPr>
          <w:color w:val="000000"/>
        </w:rPr>
        <w:tab/>
      </w:r>
      <w:r>
        <w:rPr>
          <w:color w:val="000000"/>
          <w:u w:val="single"/>
        </w:rPr>
        <w:t>Поступления  в муниципальные бюджеты от штрафов, санкций, возмещения ущерба в текущем финансовом году</w:t>
      </w:r>
      <w:r>
        <w:rPr>
          <w:color w:val="000000"/>
        </w:rPr>
        <w:t xml:space="preserve"> рассчитывается по формуле:</w:t>
      </w:r>
    </w:p>
    <w:p>
      <w:pPr>
        <w:pStyle w:val="Style16"/>
        <w:rPr/>
      </w:pPr>
      <w:r>
        <w:rPr/>
      </w:r>
    </w:p>
    <w:p>
      <w:pPr>
        <w:pStyle w:val="Style16"/>
        <w:jc w:val="center"/>
        <w:rPr>
          <w:rFonts w:cs="Times New Roman"/>
          <w:color w:val="000000"/>
        </w:rPr>
      </w:pPr>
      <w:r>
        <w:rPr>
          <w:color w:val="000000"/>
        </w:rPr>
        <w:t>Д</w:t>
      </w:r>
      <w:r>
        <w:rPr>
          <w:color w:val="000000"/>
          <w:vertAlign w:val="subscript"/>
        </w:rPr>
        <w:t>ш</w:t>
      </w:r>
      <w:r>
        <w:rPr>
          <w:color w:val="000000"/>
        </w:rPr>
        <w:t>= ((Д</w:t>
      </w:r>
      <w:r>
        <w:rPr>
          <w:color w:val="000000"/>
          <w:vertAlign w:val="subscript"/>
        </w:rPr>
        <w:t>ш1</w:t>
      </w:r>
      <w:r>
        <w:rPr>
          <w:color w:val="000000"/>
        </w:rPr>
        <w:t>/12+Д</w:t>
      </w:r>
      <w:r>
        <w:rPr>
          <w:color w:val="000000"/>
          <w:vertAlign w:val="subscript"/>
        </w:rPr>
        <w:t>ш2</w:t>
      </w:r>
      <w:r>
        <w:rPr>
          <w:color w:val="000000"/>
        </w:rPr>
        <w:t>/12+Д</w:t>
      </w:r>
      <w:r>
        <w:rPr>
          <w:color w:val="000000"/>
          <w:vertAlign w:val="subscript"/>
        </w:rPr>
        <w:t>ш3</w:t>
      </w:r>
      <w:r>
        <w:rPr>
          <w:color w:val="000000"/>
        </w:rPr>
        <w:t>/12+Д</w:t>
      </w:r>
      <w:r>
        <w:rPr>
          <w:color w:val="000000"/>
          <w:vertAlign w:val="subscript"/>
        </w:rPr>
        <w:t>ш_</w:t>
      </w:r>
      <w:r>
        <w:rPr>
          <w:color w:val="000000"/>
          <w:vertAlign w:val="subscript"/>
          <w:lang w:val="en-US"/>
        </w:rPr>
        <w:t>n</w:t>
      </w:r>
      <w:r>
        <w:rPr>
          <w:color w:val="000000"/>
        </w:rPr>
        <w:t>/12+Д</w:t>
      </w:r>
      <w:r>
        <w:rPr>
          <w:color w:val="000000"/>
          <w:vertAlign w:val="subscript"/>
        </w:rPr>
        <w:t>ш_текфингод</w:t>
      </w:r>
      <w:r>
        <w:rPr>
          <w:color w:val="000000"/>
        </w:rPr>
        <w:t>/</w:t>
      </w:r>
      <w:r>
        <w:rPr>
          <w:color w:val="000000"/>
          <w:lang w:val="en-US"/>
        </w:rPr>
        <w:t>d</w:t>
      </w:r>
      <w:r>
        <w:rPr>
          <w:color w:val="000000"/>
        </w:rPr>
        <w:t xml:space="preserve">) / </w:t>
      </w:r>
      <w:r>
        <w:rPr>
          <w:color w:val="000000"/>
          <w:lang w:val="en-US"/>
        </w:rPr>
        <w:t>n</w:t>
      </w:r>
      <w:r>
        <w:rPr>
          <w:color w:val="000000"/>
        </w:rPr>
        <w:t xml:space="preserve">) </w:t>
      </w:r>
      <w:r>
        <w:rPr>
          <w:rFonts w:cs="Times New Roman"/>
          <w:color w:val="000000"/>
        </w:rPr>
        <w:t xml:space="preserve">× </w:t>
      </w:r>
      <w:r>
        <w:rPr>
          <w:color w:val="000000"/>
        </w:rPr>
        <w:t xml:space="preserve">12 </w:t>
      </w:r>
      <w:r>
        <w:rPr>
          <w:rFonts w:cs="Times New Roman"/>
          <w:color w:val="000000"/>
        </w:rPr>
        <w:t xml:space="preserve">± К, </w:t>
      </w:r>
    </w:p>
    <w:p>
      <w:pPr>
        <w:pStyle w:val="Style16"/>
        <w:jc w:val="center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Style16"/>
        <w:ind w:firstLine="708"/>
        <w:rPr>
          <w:color w:val="000000"/>
        </w:rPr>
      </w:pPr>
      <w:r>
        <w:rPr>
          <w:rFonts w:cs="Times New Roman"/>
          <w:color w:val="000000"/>
        </w:rPr>
        <w:t>где:</w:t>
      </w:r>
      <w:r>
        <w:rPr>
          <w:color w:val="000000"/>
        </w:rPr>
        <w:tab/>
        <w:tab/>
      </w:r>
    </w:p>
    <w:p>
      <w:pPr>
        <w:pStyle w:val="Style16"/>
        <w:ind w:firstLine="708"/>
        <w:rPr>
          <w:color w:val="000000"/>
        </w:rPr>
      </w:pPr>
      <w:r>
        <w:rPr>
          <w:color w:val="000000"/>
        </w:rPr>
        <w:t>Д</w:t>
      </w:r>
      <w:r>
        <w:rPr>
          <w:color w:val="000000"/>
          <w:position w:val="-8"/>
        </w:rPr>
        <w:t>ш</w:t>
      </w:r>
      <w:r>
        <w:rPr>
          <w:color w:val="000000"/>
        </w:rPr>
        <w:t xml:space="preserve"> – доходы от  штрафов, санкций, возмещения ущерба;</w:t>
      </w:r>
    </w:p>
    <w:p>
      <w:pPr>
        <w:pStyle w:val="Style16"/>
        <w:ind w:firstLine="708"/>
        <w:rPr>
          <w:color w:val="000000"/>
        </w:rPr>
      </w:pPr>
      <w:r>
        <w:rPr>
          <w:color w:val="000000"/>
        </w:rPr>
        <w:t>Д</w:t>
      </w:r>
      <w:r>
        <w:rPr>
          <w:color w:val="000000"/>
          <w:position w:val="-8"/>
        </w:rPr>
        <w:t>ш1(2, 3…n)</w:t>
      </w:r>
      <w:r>
        <w:rPr>
          <w:color w:val="000000"/>
        </w:rPr>
        <w:t xml:space="preserve"> – доходы от штрафов, санкций, возмещения ущерба за 1, 2, 3, n-й год из предшествующих прогнозируемому периоду;</w:t>
      </w:r>
    </w:p>
    <w:p>
      <w:pPr>
        <w:pStyle w:val="Style16"/>
        <w:ind w:firstLine="708"/>
        <w:rPr>
          <w:color w:val="000000"/>
        </w:rPr>
      </w:pPr>
      <w:r>
        <w:rPr>
          <w:rFonts w:cs="Times New Roman"/>
          <w:szCs w:val="28"/>
          <w:lang w:val="en-US"/>
        </w:rPr>
        <w:t>d</w:t>
      </w:r>
      <w:r>
        <w:rPr>
          <w:rFonts w:cs="Times New Roman"/>
          <w:szCs w:val="28"/>
        </w:rPr>
        <w:t xml:space="preserve"> – количество месяцев с начала года до месяца, в котором рассчитывается оценка;</w:t>
      </w:r>
    </w:p>
    <w:p>
      <w:pPr>
        <w:pStyle w:val="Style16"/>
        <w:rPr>
          <w:color w:val="000000"/>
        </w:rPr>
      </w:pPr>
      <w:r>
        <w:rPr>
          <w:color w:val="000000"/>
        </w:rPr>
        <w:tab/>
      </w:r>
      <w:r>
        <w:rPr>
          <w:color w:val="000000"/>
          <w:lang w:val="en-US"/>
        </w:rPr>
        <w:t>n</w:t>
      </w:r>
      <w:r>
        <w:rPr>
          <w:color w:val="000000"/>
        </w:rPr>
        <w:t xml:space="preserve"> – количество лет, используемых для расчета показателя;</w:t>
      </w:r>
    </w:p>
    <w:p>
      <w:pPr>
        <w:pStyle w:val="Style16"/>
        <w:ind w:firstLine="709"/>
        <w:rPr>
          <w:color w:val="000000"/>
        </w:rPr>
      </w:pPr>
      <w:r>
        <w:rPr>
          <w:color w:val="000000"/>
          <w:position w:val="-8"/>
        </w:rPr>
        <w:t>Д</w:t>
      </w:r>
      <w:r>
        <w:rPr>
          <w:color w:val="000000"/>
          <w:vertAlign w:val="subscript"/>
        </w:rPr>
        <w:t>ш_текфингод</w:t>
      </w:r>
      <w:r>
        <w:rPr>
          <w:color w:val="000000"/>
          <w:position w:val="-8"/>
        </w:rPr>
        <w:t xml:space="preserve"> </w:t>
      </w:r>
      <w:r>
        <w:rPr>
          <w:rFonts w:cs="Times New Roman"/>
        </w:rPr>
        <w:t>- фактическое поступление сумм</w:t>
      </w:r>
      <w:r>
        <w:rPr>
          <w:rFonts w:cs="Times New Roman"/>
          <w:color w:val="1A171B"/>
        </w:rPr>
        <w:t xml:space="preserve"> от штрафов, </w:t>
      </w:r>
      <w:r>
        <w:rPr>
          <w:rFonts w:cs="Times New Roman"/>
        </w:rPr>
        <w:t>санкций, возмещения ущерба на 1-е число месяца текущего финансового года, в котором рассчитывается оценка (нарастающим итогом с начала текущего финансового года);</w:t>
      </w:r>
    </w:p>
    <w:p>
      <w:pPr>
        <w:pStyle w:val="Style16"/>
        <w:rPr/>
      </w:pPr>
      <w:r>
        <w:rPr>
          <w:color w:val="000000"/>
        </w:rPr>
        <w:tab/>
      </w:r>
      <w:r>
        <w:rPr>
          <w:color w:val="000000"/>
          <w:lang w:val="en-US"/>
        </w:rPr>
        <w:t>K</w:t>
      </w:r>
      <w:r>
        <w:rPr>
          <w:color w:val="000000"/>
        </w:rPr>
        <w:t xml:space="preserve"> - дополнительные (выпадающие со знаком «-») доходы бюджета, связанные с изменением (корректировкой) доходов на сумму неисполнения / превышения планового  объема от их фактического исполнения.</w:t>
      </w:r>
    </w:p>
    <w:p>
      <w:pPr>
        <w:pStyle w:val="Style16"/>
        <w:rPr/>
      </w:pPr>
      <w:r>
        <w:rPr>
          <w:color w:val="FF3333"/>
        </w:rPr>
        <w:tab/>
      </w:r>
      <w:r>
        <w:rPr>
          <w:color w:val="000000"/>
          <w:u w:val="single"/>
        </w:rPr>
        <w:t xml:space="preserve">Поступления  в муниципальный бюджет от штрафов, санкций, возмещения ущерба на очередной финансовый год и плановый период  </w:t>
      </w:r>
      <w:r>
        <w:rPr>
          <w:color w:val="000000"/>
        </w:rPr>
        <w:t xml:space="preserve"> рассчитывается по формуле:</w:t>
      </w:r>
    </w:p>
    <w:p>
      <w:pPr>
        <w:pStyle w:val="Style16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Style16"/>
        <w:rPr>
          <w:szCs w:val="28"/>
        </w:rPr>
      </w:pPr>
      <w:r>
        <w:rPr>
          <w:color w:val="000000"/>
          <w:szCs w:val="28"/>
        </w:rPr>
        <w:t xml:space="preserve">Очередной финансовый год: </w:t>
      </w:r>
      <w:r>
        <w:rPr>
          <w:b/>
          <w:color w:val="000000"/>
          <w:szCs w:val="28"/>
        </w:rPr>
        <w:t>Д</w:t>
      </w:r>
      <w:r>
        <w:rPr>
          <w:b/>
          <w:color w:val="000000"/>
          <w:position w:val="-8"/>
          <w:szCs w:val="28"/>
        </w:rPr>
        <w:t xml:space="preserve">очерфингод </w:t>
      </w:r>
      <w:r>
        <w:rPr>
          <w:b/>
          <w:color w:val="000000"/>
          <w:szCs w:val="28"/>
        </w:rPr>
        <w:t xml:space="preserve">= </w:t>
      </w:r>
      <w:r>
        <w:rPr>
          <w:b/>
          <w:color w:val="000000"/>
        </w:rPr>
        <w:t>Д</w:t>
      </w:r>
      <w:r>
        <w:rPr>
          <w:b/>
          <w:color w:val="000000"/>
          <w:position w:val="-8"/>
        </w:rPr>
        <w:t>ш</w:t>
      </w:r>
      <w:r>
        <w:rPr>
          <w:b/>
          <w:color w:val="000000"/>
          <w:position w:val="-8"/>
          <w:szCs w:val="28"/>
        </w:rPr>
        <w:t xml:space="preserve"> </w:t>
      </w:r>
      <w:r>
        <w:rPr>
          <w:b/>
          <w:color w:val="000000"/>
          <w:szCs w:val="28"/>
        </w:rPr>
        <w:t>× ИПЦ</w:t>
      </w:r>
      <w:r>
        <w:rPr>
          <w:b/>
          <w:color w:val="000000"/>
          <w:position w:val="-8"/>
          <w:szCs w:val="28"/>
        </w:rPr>
        <w:t>очерфингод</w:t>
      </w:r>
      <w:r>
        <w:rPr>
          <w:b/>
          <w:color w:val="000000"/>
          <w:szCs w:val="28"/>
        </w:rPr>
        <w:t xml:space="preserve"> +/- К</w:t>
      </w:r>
    </w:p>
    <w:p>
      <w:pPr>
        <w:pStyle w:val="Style16"/>
        <w:rPr>
          <w:rFonts w:ascii="Times New Roman;serif" w:hAnsi="Times New Roman;serif"/>
          <w:szCs w:val="28"/>
        </w:rPr>
      </w:pPr>
      <w:r>
        <w:rPr>
          <w:rFonts w:ascii="Times New Roman;serif" w:hAnsi="Times New Roman;serif"/>
          <w:szCs w:val="28"/>
        </w:rPr>
        <w:t xml:space="preserve">Плановый период 1: </w:t>
      </w:r>
      <w:r>
        <w:rPr>
          <w:rFonts w:ascii="Times New Roman;serif" w:hAnsi="Times New Roman;serif"/>
          <w:b/>
          <w:szCs w:val="28"/>
        </w:rPr>
        <w:t>Д</w:t>
      </w:r>
      <w:r>
        <w:rPr>
          <w:rFonts w:ascii="Times New Roman;serif" w:hAnsi="Times New Roman;serif"/>
          <w:b/>
          <w:position w:val="-8"/>
          <w:szCs w:val="28"/>
        </w:rPr>
        <w:t xml:space="preserve">плпериод1 </w:t>
      </w:r>
      <w:r>
        <w:rPr>
          <w:rFonts w:ascii="Times New Roman;serif" w:hAnsi="Times New Roman;serif"/>
          <w:b/>
          <w:szCs w:val="28"/>
        </w:rPr>
        <w:t>= Д</w:t>
      </w:r>
      <w:r>
        <w:rPr>
          <w:rFonts w:ascii="Times New Roman;serif" w:hAnsi="Times New Roman;serif"/>
          <w:b/>
          <w:position w:val="-8"/>
          <w:szCs w:val="28"/>
        </w:rPr>
        <w:t xml:space="preserve">очерфингод </w:t>
      </w:r>
      <w:r>
        <w:rPr>
          <w:rFonts w:ascii="Times New Roman;serif" w:hAnsi="Times New Roman;serif"/>
          <w:b/>
          <w:szCs w:val="28"/>
        </w:rPr>
        <w:t>× ИПЦ</w:t>
      </w:r>
      <w:r>
        <w:rPr>
          <w:rFonts w:ascii="Times New Roman;serif" w:hAnsi="Times New Roman;serif"/>
          <w:b/>
          <w:position w:val="-8"/>
          <w:szCs w:val="28"/>
        </w:rPr>
        <w:t xml:space="preserve">плпериод1 </w:t>
      </w:r>
      <w:r>
        <w:rPr>
          <w:rFonts w:ascii="Times New Roman;serif" w:hAnsi="Times New Roman;serif"/>
          <w:b/>
          <w:szCs w:val="28"/>
        </w:rPr>
        <w:t>+/- К</w:t>
      </w:r>
    </w:p>
    <w:p>
      <w:pPr>
        <w:pStyle w:val="Style16"/>
        <w:rPr>
          <w:rFonts w:ascii="Times New Roman;serif" w:hAnsi="Times New Roman;serif"/>
          <w:szCs w:val="28"/>
        </w:rPr>
      </w:pPr>
      <w:r>
        <w:rPr>
          <w:rFonts w:ascii="Times New Roman;serif" w:hAnsi="Times New Roman;serif"/>
          <w:szCs w:val="28"/>
        </w:rPr>
        <w:t xml:space="preserve">Плановый период 2: </w:t>
      </w:r>
      <w:r>
        <w:rPr>
          <w:rFonts w:ascii="Times New Roman;serif" w:hAnsi="Times New Roman;serif"/>
          <w:b/>
          <w:szCs w:val="28"/>
        </w:rPr>
        <w:t>Д</w:t>
      </w:r>
      <w:r>
        <w:rPr>
          <w:rFonts w:ascii="Times New Roman;serif" w:hAnsi="Times New Roman;serif"/>
          <w:b/>
          <w:position w:val="-8"/>
          <w:szCs w:val="28"/>
        </w:rPr>
        <w:t xml:space="preserve">плпериод2 </w:t>
      </w:r>
      <w:r>
        <w:rPr>
          <w:rFonts w:ascii="Times New Roman;serif" w:hAnsi="Times New Roman;serif"/>
          <w:b/>
          <w:szCs w:val="28"/>
        </w:rPr>
        <w:t>= Д</w:t>
      </w:r>
      <w:r>
        <w:rPr>
          <w:rFonts w:ascii="Times New Roman;serif" w:hAnsi="Times New Roman;serif"/>
          <w:b/>
          <w:position w:val="-8"/>
          <w:szCs w:val="28"/>
        </w:rPr>
        <w:t xml:space="preserve">плпериод1 </w:t>
      </w:r>
      <w:r>
        <w:rPr>
          <w:rFonts w:ascii="Times New Roman;serif" w:hAnsi="Times New Roman;serif"/>
          <w:b/>
          <w:szCs w:val="28"/>
        </w:rPr>
        <w:t>× ИПЦ</w:t>
      </w:r>
      <w:r>
        <w:rPr>
          <w:rFonts w:ascii="Times New Roman;serif" w:hAnsi="Times New Roman;serif"/>
          <w:b/>
          <w:position w:val="-8"/>
          <w:szCs w:val="28"/>
        </w:rPr>
        <w:t xml:space="preserve">плпериод2 </w:t>
      </w:r>
      <w:r>
        <w:rPr>
          <w:rFonts w:ascii="Times New Roman;serif" w:hAnsi="Times New Roman;serif"/>
          <w:b/>
          <w:szCs w:val="28"/>
        </w:rPr>
        <w:t>+/- К</w:t>
      </w:r>
    </w:p>
    <w:p>
      <w:pPr>
        <w:pStyle w:val="Style16"/>
        <w:ind w:firstLine="708"/>
        <w:rPr>
          <w:rFonts w:ascii="Times New Roman;serif" w:hAnsi="Times New Roman;serif"/>
          <w:szCs w:val="28"/>
        </w:rPr>
      </w:pPr>
      <w:r>
        <w:rPr>
          <w:rFonts w:ascii="Times New Roman;serif" w:hAnsi="Times New Roman;serif"/>
          <w:szCs w:val="28"/>
        </w:rPr>
      </w:r>
    </w:p>
    <w:p>
      <w:pPr>
        <w:pStyle w:val="Style16"/>
        <w:ind w:firstLine="708"/>
        <w:rPr>
          <w:rFonts w:ascii="Times New Roman;serif" w:hAnsi="Times New Roman;serif"/>
          <w:szCs w:val="28"/>
        </w:rPr>
      </w:pPr>
      <w:r>
        <w:rPr>
          <w:rFonts w:ascii="Times New Roman;serif" w:hAnsi="Times New Roman;serif"/>
          <w:szCs w:val="28"/>
        </w:rPr>
        <w:t>где:</w:t>
      </w:r>
    </w:p>
    <w:p>
      <w:pPr>
        <w:pStyle w:val="Style16"/>
        <w:ind w:firstLine="708"/>
        <w:rPr>
          <w:rFonts w:ascii="Times New Roman;serif" w:hAnsi="Times New Roman;serif"/>
          <w:szCs w:val="28"/>
        </w:rPr>
      </w:pPr>
      <w:r>
        <w:rPr>
          <w:color w:val="000000"/>
        </w:rPr>
        <w:t>Д</w:t>
      </w:r>
      <w:r>
        <w:rPr>
          <w:color w:val="000000"/>
          <w:position w:val="-8"/>
        </w:rPr>
        <w:t xml:space="preserve">ш - </w:t>
      </w:r>
      <w:r>
        <w:rPr>
          <w:color w:val="000000"/>
        </w:rPr>
        <w:t>доходы от штрафов, санкций, возмещения ущерба текущего финансового года;</w:t>
      </w:r>
    </w:p>
    <w:p>
      <w:pPr>
        <w:pStyle w:val="Style16"/>
        <w:ind w:firstLine="708"/>
        <w:rPr>
          <w:szCs w:val="28"/>
        </w:rPr>
      </w:pPr>
      <w:r>
        <w:rPr>
          <w:color w:val="000000"/>
          <w:szCs w:val="28"/>
        </w:rPr>
        <w:tab/>
        <w:t>Д</w:t>
      </w:r>
      <w:r>
        <w:rPr>
          <w:color w:val="000000"/>
          <w:position w:val="-8"/>
          <w:szCs w:val="28"/>
        </w:rPr>
        <w:t xml:space="preserve">очерфингод  </w:t>
      </w:r>
      <w:r>
        <w:rPr>
          <w:rFonts w:ascii="Times New Roman;serif" w:hAnsi="Times New Roman;serif"/>
          <w:szCs w:val="28"/>
        </w:rPr>
        <w:t xml:space="preserve">- поступления сумм </w:t>
      </w:r>
      <w:r>
        <w:rPr>
          <w:color w:val="000000"/>
        </w:rPr>
        <w:t>от штрафов, санкций, возмещения ущерба</w:t>
      </w:r>
      <w:r>
        <w:rPr>
          <w:rFonts w:ascii="Times New Roman;serif" w:hAnsi="Times New Roman;serif"/>
          <w:szCs w:val="28"/>
        </w:rPr>
        <w:t xml:space="preserve"> в очередном финансовом году;</w:t>
      </w:r>
    </w:p>
    <w:p>
      <w:pPr>
        <w:pStyle w:val="Style16"/>
        <w:rPr>
          <w:szCs w:val="28"/>
        </w:rPr>
      </w:pPr>
      <w:r>
        <w:rPr>
          <w:color w:val="000000"/>
          <w:szCs w:val="28"/>
        </w:rPr>
        <w:tab/>
      </w:r>
      <w:r>
        <w:rPr>
          <w:rFonts w:ascii="Times New Roman;serif" w:hAnsi="Times New Roman;serif"/>
          <w:szCs w:val="28"/>
        </w:rPr>
        <w:t>Д</w:t>
      </w:r>
      <w:r>
        <w:rPr>
          <w:rFonts w:ascii="Times New Roman;serif" w:hAnsi="Times New Roman;serif"/>
          <w:position w:val="-8"/>
          <w:szCs w:val="28"/>
        </w:rPr>
        <w:t>плпериод1</w:t>
      </w:r>
      <w:r>
        <w:rPr>
          <w:rFonts w:ascii="Times New Roman;serif" w:hAnsi="Times New Roman;serif"/>
          <w:szCs w:val="28"/>
        </w:rPr>
        <w:t>, Д</w:t>
      </w:r>
      <w:r>
        <w:rPr>
          <w:rFonts w:ascii="Times New Roman;serif" w:hAnsi="Times New Roman;serif"/>
          <w:position w:val="-8"/>
          <w:szCs w:val="28"/>
        </w:rPr>
        <w:t>плпериод2</w:t>
      </w:r>
      <w:r>
        <w:rPr>
          <w:position w:val="-8"/>
          <w:szCs w:val="28"/>
        </w:rPr>
        <w:t xml:space="preserve"> </w:t>
      </w:r>
      <w:r>
        <w:rPr>
          <w:rFonts w:ascii="Times New Roman;serif" w:hAnsi="Times New Roman;serif"/>
          <w:szCs w:val="28"/>
        </w:rPr>
        <w:t xml:space="preserve">- </w:t>
      </w:r>
      <w:r>
        <w:rPr>
          <w:rFonts w:ascii="Times New Roman;serif" w:hAnsi="Times New Roman;serif"/>
          <w:color w:val="1A171B"/>
          <w:szCs w:val="28"/>
        </w:rPr>
        <w:t xml:space="preserve">поступление </w:t>
      </w:r>
      <w:r>
        <w:rPr>
          <w:rFonts w:ascii="Times New Roman;serif" w:hAnsi="Times New Roman;serif"/>
          <w:szCs w:val="28"/>
        </w:rPr>
        <w:t>сумм</w:t>
      </w:r>
      <w:r>
        <w:rPr>
          <w:rFonts w:ascii="Times New Roman;serif" w:hAnsi="Times New Roman;serif"/>
          <w:color w:val="1A171B"/>
          <w:szCs w:val="28"/>
        </w:rPr>
        <w:t xml:space="preserve"> </w:t>
      </w:r>
      <w:r>
        <w:rPr>
          <w:color w:val="000000"/>
        </w:rPr>
        <w:t>от штрафов, санкций, возмещения ущерба</w:t>
      </w:r>
      <w:r>
        <w:rPr>
          <w:rFonts w:ascii="Times New Roman;serif" w:hAnsi="Times New Roman;serif"/>
          <w:szCs w:val="28"/>
        </w:rPr>
        <w:t xml:space="preserve"> в плановом периоде;</w:t>
      </w:r>
    </w:p>
    <w:p>
      <w:pPr>
        <w:pStyle w:val="Style16"/>
        <w:rPr>
          <w:szCs w:val="28"/>
        </w:rPr>
      </w:pPr>
      <w:r>
        <w:rPr>
          <w:rFonts w:ascii="Times New Roman;serif" w:hAnsi="Times New Roman;serif"/>
          <w:szCs w:val="28"/>
        </w:rPr>
        <w:tab/>
        <w:t>К</w:t>
      </w:r>
      <w:r>
        <w:rPr>
          <w:szCs w:val="28"/>
        </w:rPr>
        <w:t xml:space="preserve"> </w:t>
      </w:r>
      <w:r>
        <w:rPr>
          <w:rFonts w:ascii="Times New Roman;serif" w:hAnsi="Times New Roman;serif"/>
          <w:szCs w:val="28"/>
        </w:rPr>
        <w:t>- дополнительные (выпадающие со знаком «-») доходы бюджета, связанные с изменением законодательства или иными причинами.</w:t>
      </w:r>
    </w:p>
    <w:p>
      <w:pPr>
        <w:pStyle w:val="Style28"/>
        <w:ind w:left="-15" w:firstLine="84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ind w:left="5" w:right="5" w:hanging="0"/>
        <w:jc w:val="center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</w:r>
    </w:p>
    <w:p>
      <w:pPr>
        <w:pStyle w:val="Normal"/>
        <w:ind w:left="5" w:right="5" w:hanging="0"/>
        <w:jc w:val="center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</w:r>
    </w:p>
    <w:p>
      <w:pPr>
        <w:pStyle w:val="Normal"/>
        <w:ind w:left="5" w:right="5" w:hanging="0"/>
        <w:jc w:val="center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</w:r>
    </w:p>
    <w:p>
      <w:pPr>
        <w:pStyle w:val="Style28"/>
        <w:ind w:hanging="0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</w:r>
    </w:p>
    <w:p>
      <w:pPr>
        <w:pStyle w:val="Style28"/>
        <w:ind w:hanging="0"/>
        <w:rPr/>
      </w:pPr>
      <w:r>
        <w:rPr/>
      </w:r>
    </w:p>
    <w:p>
      <w:pPr>
        <w:pStyle w:val="Normal"/>
        <w:widowControl/>
        <w:jc w:val="left"/>
        <w:rPr/>
      </w:pPr>
      <w:r>
        <w:rPr/>
      </w:r>
      <w:r>
        <w:br w:type="page"/>
      </w:r>
    </w:p>
    <w:p>
      <w:pPr>
        <w:pStyle w:val="Style28"/>
        <w:ind w:left="-15" w:firstLine="840"/>
        <w:jc w:val="right"/>
        <w:rPr/>
      </w:pPr>
      <w:r>
        <w:rPr/>
        <w:t xml:space="preserve">Приложение </w:t>
      </w:r>
    </w:p>
    <w:p>
      <w:pPr>
        <w:pStyle w:val="Style28"/>
        <w:ind w:left="-15" w:firstLine="840"/>
        <w:jc w:val="right"/>
        <w:rPr/>
      </w:pPr>
      <w:r>
        <w:rPr/>
        <w:t>к Методике прогнозирования поступлений доходов</w:t>
      </w:r>
    </w:p>
    <w:p>
      <w:pPr>
        <w:pStyle w:val="Style28"/>
        <w:ind w:left="-15" w:firstLine="840"/>
        <w:jc w:val="right"/>
        <w:rPr/>
      </w:pPr>
      <w:r>
        <w:rPr/>
        <w:t xml:space="preserve"> </w:t>
      </w:r>
      <w:r>
        <w:rPr/>
        <w:t xml:space="preserve">в областной и муниципальные бюджеты, </w:t>
      </w:r>
    </w:p>
    <w:p>
      <w:pPr>
        <w:pStyle w:val="Style28"/>
        <w:ind w:left="-15" w:firstLine="840"/>
        <w:jc w:val="right"/>
        <w:rPr/>
      </w:pPr>
      <w:r>
        <w:rPr/>
        <w:t xml:space="preserve">администратором которых является </w:t>
      </w:r>
    </w:p>
    <w:p>
      <w:pPr>
        <w:pStyle w:val="Style28"/>
        <w:ind w:left="-15" w:firstLine="840"/>
        <w:jc w:val="right"/>
        <w:rPr/>
      </w:pPr>
      <w:r>
        <w:rPr/>
        <w:t>Департамент ветеринарии Томской области</w:t>
      </w:r>
    </w:p>
    <w:p>
      <w:pPr>
        <w:pStyle w:val="Style28"/>
        <w:ind w:left="-15" w:firstLine="840"/>
        <w:jc w:val="right"/>
        <w:rPr/>
      </w:pPr>
      <w:r>
        <w:rPr/>
      </w:r>
    </w:p>
    <w:p>
      <w:pPr>
        <w:pStyle w:val="Style28"/>
        <w:ind w:left="-15" w:firstLine="840"/>
        <w:jc w:val="right"/>
        <w:rPr/>
      </w:pPr>
      <w:r>
        <w:rPr/>
        <w:t xml:space="preserve"> </w:t>
      </w:r>
    </w:p>
    <w:tbl>
      <w:tblPr>
        <w:tblW w:w="10110" w:type="dxa"/>
        <w:jc w:val="left"/>
        <w:tblInd w:w="55" w:type="dxa"/>
        <w:tblCellMar>
          <w:top w:w="55" w:type="dxa"/>
          <w:left w:w="54" w:type="dxa"/>
          <w:bottom w:w="55" w:type="dxa"/>
          <w:right w:w="55" w:type="dxa"/>
        </w:tblCellMar>
        <w:tblLook w:val="0000" w:noVBand="0" w:noHBand="0" w:lastColumn="0" w:firstColumn="0" w:lastRow="0" w:firstRow="0"/>
      </w:tblPr>
      <w:tblGrid>
        <w:gridCol w:w="3344"/>
        <w:gridCol w:w="4291"/>
        <w:gridCol w:w="2475"/>
      </w:tblGrid>
      <w:tr>
        <w:trPr/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3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Style3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Style3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Style30"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бюджетной классификации РФ по доходам</w:t>
            </w:r>
          </w:p>
        </w:tc>
        <w:tc>
          <w:tcPr>
            <w:tcW w:w="4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3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Style3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Style30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Style30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кода бюджетной классификации РФ по доходам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30"/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и дата нормативно-правового акта о закреплении кода доходов бюджетной классификации РФ</w:t>
            </w:r>
          </w:p>
        </w:tc>
      </w:tr>
      <w:tr>
        <w:trPr/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Web"/>
              <w:spacing w:before="0" w:after="119"/>
              <w:rPr/>
            </w:pPr>
            <w:r>
              <w:rPr>
                <w:sz w:val="27"/>
                <w:szCs w:val="27"/>
              </w:rPr>
              <w:t>818 2 18 60010 02 0000 150</w:t>
            </w:r>
          </w:p>
          <w:p>
            <w:pPr>
              <w:pStyle w:val="Style3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Доходы бюджетов субъектов Российской Федерации от возврата прочих остатков субсидий, субвенций и иных межбюджетных трансфертов, имеющих целевое назначение, прошлых лет из бюджетов муниципальных образований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30"/>
              <w:jc w:val="center"/>
              <w:rPr/>
            </w:pPr>
            <w:r>
              <w:rPr/>
              <w:t xml:space="preserve">Распоряжение Департамента ветеринарии Томской области от 15.02.2019 №23 </w:t>
            </w:r>
          </w:p>
        </w:tc>
      </w:tr>
      <w:tr>
        <w:trPr/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Web"/>
              <w:spacing w:before="0" w:after="119"/>
              <w:rPr/>
            </w:pPr>
            <w:r>
              <w:rPr>
                <w:sz w:val="27"/>
                <w:szCs w:val="27"/>
              </w:rPr>
              <w:t>818 2 18 02010 02 0000 150</w:t>
            </w:r>
          </w:p>
          <w:p>
            <w:pPr>
              <w:pStyle w:val="Style3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Доходы бюджетов субъектов Российской Федерации от возврата бюджетными учреждениями остатков субсидий прошлых лет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30"/>
              <w:jc w:val="center"/>
              <w:rPr/>
            </w:pPr>
            <w:r>
              <w:rPr/>
              <w:t>Распоряжение Департамента ветеринарии Томской области от 15.02.2019 №23</w:t>
            </w:r>
          </w:p>
        </w:tc>
      </w:tr>
      <w:tr>
        <w:trPr/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30"/>
              <w:rPr>
                <w:color w:val="000000"/>
              </w:rPr>
            </w:pPr>
            <w:r>
              <w:rPr>
                <w:color w:val="000000"/>
              </w:rPr>
              <w:t>818 1 16 32000 02 0000 140</w:t>
            </w:r>
          </w:p>
        </w:tc>
        <w:tc>
          <w:tcPr>
            <w:tcW w:w="4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30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субъектов Российской Федерации)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30"/>
              <w:jc w:val="center"/>
              <w:rPr/>
            </w:pPr>
            <w:r>
              <w:rPr/>
              <w:t>Распоряжение Департамента ветеринарии Томской области от 09.11.2018 №33</w:t>
            </w:r>
          </w:p>
        </w:tc>
      </w:tr>
      <w:tr>
        <w:trPr/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30"/>
              <w:rPr>
                <w:color w:val="000000"/>
              </w:rPr>
            </w:pPr>
            <w:r>
              <w:rPr>
                <w:color w:val="000000"/>
              </w:rPr>
              <w:t>818 1 16 90040 04 0000 140</w:t>
            </w:r>
          </w:p>
        </w:tc>
        <w:tc>
          <w:tcPr>
            <w:tcW w:w="4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30"/>
              <w:jc w:val="center"/>
              <w:rPr/>
            </w:pPr>
            <w:r>
              <w:rPr/>
              <w:t>Распоряжение Департамента ветеринарии Томской области от 09.11.2018 №33</w:t>
            </w:r>
          </w:p>
        </w:tc>
      </w:tr>
      <w:tr>
        <w:trPr/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30"/>
              <w:rPr>
                <w:color w:val="000000"/>
              </w:rPr>
            </w:pPr>
            <w:r>
              <w:rPr>
                <w:color w:val="000000"/>
              </w:rPr>
              <w:t>818 1 16 90050 05 0000 140</w:t>
            </w:r>
          </w:p>
        </w:tc>
        <w:tc>
          <w:tcPr>
            <w:tcW w:w="4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30"/>
              <w:jc w:val="center"/>
              <w:rPr/>
            </w:pPr>
            <w:r>
              <w:rPr/>
              <w:t>Распоряжение Департамента ветеринарии Томской области от 09.11.2018 №33</w:t>
            </w:r>
          </w:p>
        </w:tc>
      </w:tr>
      <w:tr>
        <w:trPr/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30"/>
              <w:rPr>
                <w:color w:val="000000"/>
              </w:rPr>
            </w:pPr>
            <w:r>
              <w:rPr>
                <w:color w:val="000000"/>
              </w:rPr>
              <w:t>818 1 13 02992 02 0000 130</w:t>
            </w:r>
          </w:p>
        </w:tc>
        <w:tc>
          <w:tcPr>
            <w:tcW w:w="4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Прочие доходы от компенсации затрат бюджетов субъектов Российской Федерации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30"/>
              <w:jc w:val="center"/>
              <w:rPr/>
            </w:pPr>
            <w:r>
              <w:rPr/>
              <w:t>Распоряжение Департамента ветеринарии Томской области от 09.11.2018 №33</w:t>
            </w:r>
          </w:p>
        </w:tc>
      </w:tr>
      <w:tr>
        <w:trPr/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Style30"/>
              <w:rPr/>
            </w:pPr>
            <w:r>
              <w:rPr/>
              <w:t>818 1 16 90020 02 0000 140</w:t>
            </w:r>
          </w:p>
        </w:tc>
        <w:tc>
          <w:tcPr>
            <w:tcW w:w="4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Прочие поступления от денежных взысканий (штрафов) и иных сумм в возмещение ущерба, зачисляемые в бюджеты субъектов Российской Федерации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Style30"/>
              <w:jc w:val="center"/>
              <w:rPr>
                <w:rFonts w:eastAsia="Times New Roman" w:cs="Times New Roman"/>
              </w:rPr>
            </w:pPr>
            <w:r>
              <w:rPr/>
              <w:t>Распоряжение Департамента ветеринарии Томской области от 09.11.2018 №33</w:t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3"/>
      <w:headerReference w:type="first" r:id="rId4"/>
      <w:footerReference w:type="default" r:id="rId5"/>
      <w:footerReference w:type="first" r:id="rId6"/>
      <w:type w:val="nextPage"/>
      <w:pgSz w:w="11906" w:h="16838"/>
      <w:pgMar w:left="1134" w:right="707" w:header="567" w:top="1172" w:footer="0" w:bottom="993" w:gutter="0"/>
      <w:pgNumType w:fmt="decimal"/>
      <w:formProt w:val="false"/>
      <w:titlePg/>
      <w:textDirection w:val="lrTb"/>
      <w:docGrid w:type="default" w:linePitch="312" w:charSpace="429495275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default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PT Astra Serif">
    <w:charset w:val="01"/>
    <w:family w:val="roman"/>
    <w:pitch w:val="default"/>
  </w:font>
  <w:font w:name="Courier New">
    <w:charset w:val="01"/>
    <w:family w:val="roman"/>
    <w:pitch w:val="default"/>
  </w:font>
  <w:font w:name="Calibri">
    <w:charset w:val="01"/>
    <w:family w:val="roman"/>
    <w:pitch w:val="default"/>
  </w:font>
  <w:font w:name="Times New Roman">
    <w:altName w:val="serif"/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8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8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Lucida Sans Unicode" w:cs="Mang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spacing w:before="0" w:after="0"/>
      <w:jc w:val="both"/>
    </w:pPr>
    <w:rPr>
      <w:rFonts w:ascii="Times New Roman" w:hAnsi="Times New Roman" w:eastAsia="Lucida Sans Unicode" w:cs="Mangal"/>
      <w:color w:val="auto"/>
      <w:kern w:val="0"/>
      <w:sz w:val="28"/>
      <w:szCs w:val="24"/>
      <w:lang w:val="ru-RU" w:eastAsia="zh-CN" w:bidi="hi-IN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b/>
    </w:rPr>
  </w:style>
  <w:style w:type="paragraph" w:styleId="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sz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Текст выноски Знак"/>
    <w:basedOn w:val="DefaultParagraphFont"/>
    <w:link w:val="afb"/>
    <w:uiPriority w:val="99"/>
    <w:semiHidden/>
    <w:qFormat/>
    <w:rsid w:val="00337d18"/>
    <w:rPr>
      <w:rFonts w:ascii="Tahoma" w:hAnsi="Tahoma"/>
      <w:sz w:val="16"/>
      <w:szCs w:val="14"/>
    </w:rPr>
  </w:style>
  <w:style w:type="character" w:styleId="Style13">
    <w:name w:val="Интернет-ссылка"/>
    <w:basedOn w:val="DefaultParagraphFont"/>
    <w:uiPriority w:val="99"/>
    <w:semiHidden/>
    <w:unhideWhenUsed/>
    <w:rsid w:val="002e5ab4"/>
    <w:rPr>
      <w:color w:val="0000FF"/>
      <w:u w:val="single"/>
    </w:rPr>
  </w:style>
  <w:style w:type="character" w:styleId="Style14" w:customStyle="1">
    <w:name w:val="Нижний колонтитул Знак"/>
    <w:basedOn w:val="DefaultParagraphFont"/>
    <w:link w:val="aff"/>
    <w:uiPriority w:val="99"/>
    <w:qFormat/>
    <w:rsid w:val="00885c3f"/>
    <w:rPr>
      <w:rFonts w:ascii="Times New Roman" w:hAnsi="Times New Roman"/>
      <w:sz w:val="28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/>
      <w:szCs w:val="28"/>
    </w:rPr>
  </w:style>
  <w:style w:type="paragraph" w:styleId="Style16">
    <w:name w:val="Body Text"/>
    <w:basedOn w:val="Normal"/>
    <w:pPr/>
    <w:rPr/>
  </w:style>
  <w:style w:type="paragraph" w:styleId="Style17">
    <w:name w:val="List"/>
    <w:basedOn w:val="Style16"/>
    <w:pPr/>
    <w:rPr>
      <w:rFonts w:ascii="Arial" w:hAnsi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0" w:customStyle="1">
    <w:name w:val="Title"/>
    <w:basedOn w:val="Normal"/>
    <w:next w:val="Style16"/>
    <w:qFormat/>
    <w:pPr>
      <w:suppressLineNumbers/>
      <w:spacing w:before="0" w:after="119"/>
    </w:pPr>
    <w:rPr>
      <w:iCs/>
    </w:rPr>
  </w:style>
  <w:style w:type="paragraph" w:styleId="Style21">
    <w:name w:val="Subtitle"/>
    <w:basedOn w:val="Style20"/>
    <w:next w:val="Style16"/>
    <w:qFormat/>
    <w:pPr>
      <w:jc w:val="center"/>
    </w:pPr>
    <w:rPr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ascii="Arial" w:hAnsi="Arial"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pPr>
      <w:suppressLineNumbers/>
      <w:tabs>
        <w:tab w:val="clear" w:pos="720"/>
        <w:tab w:val="center" w:pos="5102" w:leader="none"/>
        <w:tab w:val="right" w:pos="10205" w:leader="none"/>
      </w:tabs>
    </w:pPr>
    <w:rPr/>
  </w:style>
  <w:style w:type="paragraph" w:styleId="Style24" w:customStyle="1">
    <w:name w:val="Верхний колонтитул справа"/>
    <w:basedOn w:val="Normal"/>
    <w:qFormat/>
    <w:pPr>
      <w:suppressLineNumbers/>
      <w:tabs>
        <w:tab w:val="clear" w:pos="720"/>
        <w:tab w:val="center" w:pos="5102" w:leader="none"/>
        <w:tab w:val="right" w:pos="10205" w:leader="none"/>
      </w:tabs>
    </w:pPr>
    <w:rPr/>
  </w:style>
  <w:style w:type="paragraph" w:styleId="Style25" w:customStyle="1">
    <w:name w:val="Верхний колонтитул слева"/>
    <w:basedOn w:val="Normal"/>
    <w:qFormat/>
    <w:pPr>
      <w:suppressLineNumbers/>
      <w:tabs>
        <w:tab w:val="clear" w:pos="720"/>
        <w:tab w:val="center" w:pos="5102" w:leader="none"/>
        <w:tab w:val="right" w:pos="10205" w:leader="none"/>
      </w:tabs>
    </w:pPr>
    <w:rPr/>
  </w:style>
  <w:style w:type="paragraph" w:styleId="Style26" w:customStyle="1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27">
    <w:name w:val="Body Text Indent"/>
    <w:basedOn w:val="Style16"/>
    <w:pPr>
      <w:ind w:left="283" w:hanging="0"/>
    </w:pPr>
    <w:rPr/>
  </w:style>
  <w:style w:type="paragraph" w:styleId="Style28" w:customStyle="1">
    <w:name w:val="Body Text First Indent"/>
    <w:basedOn w:val="Style16"/>
    <w:pPr>
      <w:ind w:firstLine="709"/>
    </w:pPr>
    <w:rPr/>
  </w:style>
  <w:style w:type="paragraph" w:styleId="Style29" w:customStyle="1">
    <w:name w:val="Таблица"/>
    <w:basedOn w:val="Style20"/>
    <w:qFormat/>
    <w:pPr/>
    <w:rPr/>
  </w:style>
  <w:style w:type="paragraph" w:styleId="PlainText">
    <w:name w:val="Plain Text"/>
    <w:basedOn w:val="Style20"/>
    <w:qFormat/>
    <w:pPr/>
    <w:rPr/>
  </w:style>
  <w:style w:type="paragraph" w:styleId="Style30" w:customStyle="1">
    <w:name w:val="Содержимое таблицы"/>
    <w:basedOn w:val="Normal"/>
    <w:qFormat/>
    <w:pPr>
      <w:suppressLineNumbers/>
    </w:pPr>
    <w:rPr/>
  </w:style>
  <w:style w:type="paragraph" w:styleId="Style31" w:customStyle="1">
    <w:name w:val="Текст шапки"/>
    <w:basedOn w:val="Style16"/>
    <w:qFormat/>
    <w:pPr>
      <w:jc w:val="center"/>
    </w:pPr>
    <w:rPr>
      <w:b/>
      <w:bCs/>
      <w:sz w:val="30"/>
      <w:szCs w:val="30"/>
    </w:rPr>
  </w:style>
  <w:style w:type="paragraph" w:styleId="Style32" w:customStyle="1">
    <w:name w:val="Подпись_дол+ФИО"/>
    <w:basedOn w:val="Style16"/>
    <w:next w:val="Style28"/>
    <w:qFormat/>
    <w:pPr>
      <w:tabs>
        <w:tab w:val="clear" w:pos="720"/>
        <w:tab w:val="right" w:pos="10035" w:leader="none"/>
      </w:tabs>
      <w:jc w:val="left"/>
    </w:pPr>
    <w:rPr/>
  </w:style>
  <w:style w:type="paragraph" w:styleId="Style33" w:customStyle="1">
    <w:name w:val="Содержимое врезки"/>
    <w:basedOn w:val="Style16"/>
    <w:qFormat/>
    <w:pPr/>
    <w:rPr/>
  </w:style>
  <w:style w:type="paragraph" w:styleId="Style34">
    <w:name w:val="Signature"/>
    <w:basedOn w:val="Style16"/>
    <w:pPr>
      <w:suppressLineNumbers/>
    </w:pPr>
    <w:rPr/>
  </w:style>
  <w:style w:type="paragraph" w:styleId="Style35" w:customStyle="1">
    <w:name w:val="ПодписьСогл_дол+ФИО"/>
    <w:basedOn w:val="Style32"/>
    <w:qFormat/>
    <w:pPr/>
    <w:rPr>
      <w:sz w:val="24"/>
    </w:rPr>
  </w:style>
  <w:style w:type="paragraph" w:styleId="Style36" w:customStyle="1">
    <w:name w:val="Текст в заданном формате"/>
    <w:basedOn w:val="Normal"/>
    <w:qFormat/>
    <w:pPr/>
    <w:rPr>
      <w:rFonts w:ascii="Courier New" w:hAnsi="Courier New" w:eastAsia="Courier New" w:cs="Courier New"/>
      <w:sz w:val="20"/>
      <w:szCs w:val="20"/>
    </w:rPr>
  </w:style>
  <w:style w:type="paragraph" w:styleId="Style37" w:customStyle="1">
    <w:name w:val="Заголовок таблицы"/>
    <w:basedOn w:val="Style30"/>
    <w:qFormat/>
    <w:pPr>
      <w:jc w:val="center"/>
    </w:pPr>
    <w:rPr>
      <w:b/>
      <w:bCs/>
    </w:rPr>
  </w:style>
  <w:style w:type="paragraph" w:styleId="ConsPlusNormal" w:customStyle="1">
    <w:name w:val="ConsPlusNormal"/>
    <w:qFormat/>
    <w:pPr>
      <w:widowControl/>
      <w:bidi w:val="0"/>
      <w:spacing w:before="0" w:after="0"/>
      <w:jc w:val="left"/>
    </w:pPr>
    <w:rPr>
      <w:rFonts w:eastAsia="Arial" w:cs="Courier New" w:ascii="Arial" w:hAnsi="Arial"/>
      <w:color w:val="auto"/>
      <w:kern w:val="0"/>
      <w:sz w:val="28"/>
      <w:szCs w:val="24"/>
      <w:lang w:val="ru-RU" w:eastAsia="zh-CN" w:bidi="hi-IN"/>
    </w:rPr>
  </w:style>
  <w:style w:type="paragraph" w:styleId="ConsPlusNonformat" w:customStyle="1">
    <w:name w:val="ConsPlusNonformat"/>
    <w:qFormat/>
    <w:pPr>
      <w:widowControl/>
      <w:bidi w:val="0"/>
      <w:spacing w:before="0" w:after="0"/>
      <w:jc w:val="left"/>
    </w:pPr>
    <w:rPr>
      <w:rFonts w:ascii="Courier New" w:hAnsi="Courier New" w:eastAsia="Arial" w:cs="Courier New"/>
      <w:color w:val="auto"/>
      <w:kern w:val="0"/>
      <w:sz w:val="28"/>
      <w:szCs w:val="24"/>
      <w:lang w:val="ru-RU" w:eastAsia="zh-CN" w:bidi="hi-IN"/>
    </w:rPr>
  </w:style>
  <w:style w:type="paragraph" w:styleId="ConsPlusTitle" w:customStyle="1">
    <w:name w:val="ConsPlusTitle"/>
    <w:qFormat/>
    <w:pPr>
      <w:widowControl/>
      <w:bidi w:val="0"/>
      <w:spacing w:before="0" w:after="0"/>
      <w:jc w:val="left"/>
    </w:pPr>
    <w:rPr>
      <w:rFonts w:eastAsia="Arial" w:cs="Courier New" w:ascii="Arial" w:hAnsi="Arial"/>
      <w:b/>
      <w:color w:val="auto"/>
      <w:kern w:val="0"/>
      <w:sz w:val="28"/>
      <w:szCs w:val="24"/>
      <w:lang w:val="ru-RU" w:eastAsia="zh-CN" w:bidi="hi-IN"/>
    </w:rPr>
  </w:style>
  <w:style w:type="paragraph" w:styleId="ConsPlusCell" w:customStyle="1">
    <w:name w:val="ConsPlusCell"/>
    <w:qFormat/>
    <w:pPr>
      <w:widowControl/>
      <w:bidi w:val="0"/>
      <w:spacing w:before="0" w:after="0"/>
      <w:jc w:val="left"/>
    </w:pPr>
    <w:rPr>
      <w:rFonts w:ascii="Courier New" w:hAnsi="Courier New" w:eastAsia="Arial" w:cs="Courier New"/>
      <w:color w:val="auto"/>
      <w:kern w:val="0"/>
      <w:sz w:val="28"/>
      <w:szCs w:val="24"/>
      <w:lang w:val="ru-RU" w:eastAsia="zh-CN" w:bidi="hi-IN"/>
    </w:rPr>
  </w:style>
  <w:style w:type="paragraph" w:styleId="ConsPlusDocList" w:customStyle="1">
    <w:name w:val="ConsPlusDocList"/>
    <w:qFormat/>
    <w:pPr>
      <w:widowControl/>
      <w:bidi w:val="0"/>
      <w:spacing w:before="0" w:after="0"/>
      <w:jc w:val="left"/>
    </w:pPr>
    <w:rPr>
      <w:rFonts w:ascii="Courier New" w:hAnsi="Courier New" w:eastAsia="Arial" w:cs="Courier New"/>
      <w:color w:val="auto"/>
      <w:kern w:val="0"/>
      <w:sz w:val="28"/>
      <w:szCs w:val="24"/>
      <w:lang w:val="ru-RU" w:eastAsia="zh-CN" w:bidi="hi-IN"/>
    </w:rPr>
  </w:style>
  <w:style w:type="paragraph" w:styleId="ConsPlusTitlePage" w:customStyle="1">
    <w:name w:val="ConsPlusTitlePage"/>
    <w:qFormat/>
    <w:pPr>
      <w:widowControl/>
      <w:bidi w:val="0"/>
      <w:spacing w:before="0" w:after="0"/>
      <w:jc w:val="left"/>
    </w:pPr>
    <w:rPr>
      <w:rFonts w:ascii="Tahoma" w:hAnsi="Tahoma" w:eastAsia="Arial" w:cs="Courier New"/>
      <w:color w:val="auto"/>
      <w:kern w:val="0"/>
      <w:sz w:val="28"/>
      <w:szCs w:val="24"/>
      <w:lang w:val="ru-RU" w:eastAsia="zh-CN" w:bidi="hi-IN"/>
    </w:rPr>
  </w:style>
  <w:style w:type="paragraph" w:styleId="ConsPlusJurTerm" w:customStyle="1">
    <w:name w:val="ConsPlusJurTerm"/>
    <w:qFormat/>
    <w:pPr>
      <w:widowControl/>
      <w:bidi w:val="0"/>
      <w:spacing w:before="0" w:after="0"/>
      <w:jc w:val="left"/>
    </w:pPr>
    <w:rPr>
      <w:rFonts w:ascii="Tahoma" w:hAnsi="Tahoma" w:eastAsia="Arial" w:cs="Courier New"/>
      <w:color w:val="auto"/>
      <w:kern w:val="0"/>
      <w:sz w:val="26"/>
      <w:szCs w:val="24"/>
      <w:lang w:val="ru-RU" w:eastAsia="zh-CN" w:bidi="hi-IN"/>
    </w:rPr>
  </w:style>
  <w:style w:type="paragraph" w:styleId="NoSpacing">
    <w:name w:val="No Spacing"/>
    <w:uiPriority w:val="1"/>
    <w:qFormat/>
    <w:rsid w:val="00337d18"/>
    <w:pPr>
      <w:widowControl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eastAsia="en-US" w:bidi="ar-SA" w:val="ru-RU"/>
    </w:rPr>
  </w:style>
  <w:style w:type="paragraph" w:styleId="BalloonText">
    <w:name w:val="Balloon Text"/>
    <w:basedOn w:val="Normal"/>
    <w:link w:val="afc"/>
    <w:uiPriority w:val="99"/>
    <w:semiHidden/>
    <w:unhideWhenUsed/>
    <w:qFormat/>
    <w:rsid w:val="00337d18"/>
    <w:pPr/>
    <w:rPr>
      <w:rFonts w:ascii="Tahoma" w:hAnsi="Tahoma"/>
      <w:sz w:val="16"/>
      <w:szCs w:val="14"/>
    </w:rPr>
  </w:style>
  <w:style w:type="paragraph" w:styleId="Western" w:customStyle="1">
    <w:name w:val="первая-строка-с-отступом-western"/>
    <w:basedOn w:val="Normal"/>
    <w:qFormat/>
    <w:rsid w:val="009a4d3b"/>
    <w:pPr>
      <w:widowControl/>
      <w:spacing w:beforeAutospacing="1" w:after="0"/>
      <w:ind w:firstLine="709"/>
    </w:pPr>
    <w:rPr>
      <w:rFonts w:eastAsia="Times New Roman" w:cs="Times New Roman"/>
      <w:szCs w:val="28"/>
      <w:lang w:eastAsia="ru-RU" w:bidi="ar-SA"/>
    </w:rPr>
  </w:style>
  <w:style w:type="paragraph" w:styleId="NormalWeb">
    <w:name w:val="Normal (Web)"/>
    <w:basedOn w:val="Normal"/>
    <w:uiPriority w:val="99"/>
    <w:unhideWhenUsed/>
    <w:qFormat/>
    <w:rsid w:val="001c0fcb"/>
    <w:pPr>
      <w:widowControl/>
      <w:spacing w:beforeAutospacing="1" w:after="119"/>
      <w:jc w:val="left"/>
    </w:pPr>
    <w:rPr>
      <w:rFonts w:eastAsia="Times New Roman" w:cs="Times New Roman"/>
      <w:sz w:val="24"/>
      <w:lang w:eastAsia="ru-RU" w:bidi="ar-SA"/>
    </w:rPr>
  </w:style>
  <w:style w:type="paragraph" w:styleId="Style38">
    <w:name w:val="Footer"/>
    <w:basedOn w:val="Normal"/>
    <w:link w:val="aff0"/>
    <w:uiPriority w:val="99"/>
    <w:unhideWhenUsed/>
    <w:rsid w:val="00885c3f"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osvet.tomsk.gov.ru/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Application>LibreOffice/6.4.7.2$Linux_X86_64 LibreOffice_project/40$Build-2</Application>
  <Pages>9</Pages>
  <Words>2102</Words>
  <Characters>14319</Characters>
  <CharactersWithSpaces>16370</CharactersWithSpaces>
  <Paragraphs>142</Paragraphs>
  <Company>КонсультантПлюс Версия 4015.00.04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2019-04-24T07:47:00Z</dcterms:created>
  <dc:creator>Александр Владимирович Лазарев</dc:creator>
  <dc:description/>
  <dc:language>ru-RU</dc:language>
  <cp:lastModifiedBy/>
  <cp:lastPrinted>2016-09-01T02:13:00Z</cp:lastPrinted>
  <dcterms:modified xsi:type="dcterms:W3CDTF">2023-10-17T16:18:46Z</dcterms:modified>
  <cp:revision>12</cp:revision>
  <dc:subject/>
  <dc:title>Приказ Минфина России от 01.07.2013 N 65н(ред. от 20.06.2016)"Об утверждении Указаний о порядке применения бюджетной классификации Российской Федерации"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КонсультантПлюс Версия 4015.00.04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