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/>
      </w:pPr>
      <w:r>
        <w:rPr>
          <w:rStyle w:val="Strong"/>
          <w:rFonts w:cs="Arial" w:ascii="PT Astra Serif" w:hAnsi="PT Astra Serif"/>
          <w:b w:val="false"/>
          <w:color w:val="auto"/>
          <w:sz w:val="26"/>
          <w:szCs w:val="26"/>
        </w:rPr>
        <w:t>Доклад</w:t>
      </w:r>
      <w:r>
        <w:rPr>
          <w:rFonts w:cs="Arial" w:ascii="PT Astra Serif" w:hAnsi="PT Astra Serif"/>
          <w:color w:val="auto"/>
          <w:sz w:val="26"/>
          <w:szCs w:val="26"/>
        </w:rPr>
        <w:t xml:space="preserve"> </w:t>
      </w:r>
      <w:r>
        <w:rPr>
          <w:rStyle w:val="Strong"/>
          <w:rFonts w:cs="Arial" w:ascii="PT Astra Serif" w:hAnsi="PT Astra Serif"/>
          <w:b w:val="false"/>
          <w:color w:val="auto"/>
          <w:sz w:val="26"/>
          <w:szCs w:val="26"/>
        </w:rPr>
        <w:t>об антимонопольном комплаенсе за 2022 год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/>
      </w:pPr>
      <w:r>
        <w:rPr>
          <w:rStyle w:val="Strong"/>
          <w:rFonts w:cs="Arial" w:ascii="PT Astra Serif" w:hAnsi="PT Astra Serif"/>
          <w:b w:val="false"/>
          <w:color w:val="auto"/>
          <w:sz w:val="26"/>
          <w:szCs w:val="26"/>
          <w:u w:val="single"/>
        </w:rPr>
        <w:t xml:space="preserve">Департамент ветеринарии Томской области </w:t>
      </w:r>
    </w:p>
    <w:p>
      <w:pPr>
        <w:pStyle w:val="Normal"/>
        <w:shd w:val="clear" w:color="auto" w:fill="FFFFFF"/>
        <w:spacing w:lineRule="auto" w:line="240" w:before="0" w:after="0"/>
        <w:ind w:firstLine="426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>1. Общие положения.</w:t>
      </w:r>
    </w:p>
    <w:p>
      <w:pPr>
        <w:pStyle w:val="Normal"/>
        <w:shd w:val="clear" w:color="auto" w:fill="FFFFFF"/>
        <w:spacing w:lineRule="auto" w:line="240" w:before="0" w:after="0"/>
        <w:ind w:firstLine="426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Во исполнение </w:t>
      </w:r>
      <w:r>
        <w:rPr>
          <w:rFonts w:eastAsia="PT Astra Serif" w:ascii="PT Astra Serif" w:hAnsi="PT Astra Serif"/>
          <w:color w:val="auto"/>
          <w:sz w:val="26"/>
          <w:szCs w:val="26"/>
        </w:rPr>
        <w:t>распоряжения Губернатора Томской области от 27.02.2019 N 44-р</w:t>
        <w:br/>
        <w:t>«О создании и организации системы внутреннего обеспечения соответствия требованиям антимонопольного законодательства в исполнительных органах государственной власти Томской области» Департаментом ветеринарии Томской области (далее – Департамент) приняты следующие документы:</w:t>
      </w:r>
    </w:p>
    <w:p>
      <w:pPr>
        <w:pStyle w:val="Normal"/>
        <w:spacing w:lineRule="auto" w:line="240" w:before="0" w:after="0"/>
        <w:ind w:firstLine="426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- распоряжение Департамента ветеринарии Томской области от 28.03.2019 №43 «Об организации системы внутреннего обеспечения соответствия требованиям антимонопольного законодательства» </w:t>
      </w:r>
      <w:r>
        <w:rPr>
          <w:rFonts w:ascii="PT Astra Serif" w:hAnsi="PT Astra Serif"/>
          <w:color w:val="auto"/>
          <w:sz w:val="26"/>
          <w:szCs w:val="26"/>
          <w:u w:val="single"/>
        </w:rPr>
        <w:t>(https://gosvet.tomsk.gov.ru/antimonopolnyj-komplaens);</w:t>
      </w:r>
    </w:p>
    <w:p>
      <w:pPr>
        <w:pStyle w:val="Normal"/>
        <w:spacing w:lineRule="auto" w:line="240" w:before="0" w:after="0"/>
        <w:ind w:firstLine="426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- распоряжение Департамента ветеринарии Томской области от 27.03.2020 №35/1 «Об утверждении Карты (паспорта) комплаенс-рисков в Департаменте ветеринарии Томской области» </w:t>
      </w:r>
      <w:r>
        <w:rPr>
          <w:rFonts w:ascii="PT Astra Serif" w:hAnsi="PT Astra Serif"/>
          <w:color w:val="auto"/>
          <w:sz w:val="26"/>
          <w:szCs w:val="26"/>
          <w:u w:val="single"/>
        </w:rPr>
        <w:t>(https://gosvet.tomsk.gov.ru/antimonopolnyj-komplaens);</w:t>
      </w:r>
    </w:p>
    <w:p>
      <w:pPr>
        <w:pStyle w:val="Normal"/>
        <w:spacing w:lineRule="auto" w:line="240" w:before="0" w:after="0"/>
        <w:ind w:firstLine="426"/>
        <w:jc w:val="both"/>
        <w:rPr/>
      </w:pPr>
      <w:r>
        <w:rPr>
          <w:rFonts w:ascii="PT Astra Serif" w:hAnsi="PT Astra Serif"/>
          <w:color w:val="auto"/>
          <w:sz w:val="26"/>
          <w:szCs w:val="26"/>
        </w:rPr>
        <w:t xml:space="preserve">- распоряжение Департамента ветеринарии Томской области от 27.03.2020 №35/2 «Об утверждении плана мероприятий по снижению рисков нарушения антимонопольного законодательства в Департаменте ветеринарии Томской области» </w:t>
      </w:r>
      <w:r>
        <w:rPr>
          <w:rFonts w:ascii="PT Astra Serif" w:hAnsi="PT Astra Serif"/>
          <w:color w:val="auto"/>
          <w:sz w:val="26"/>
          <w:szCs w:val="26"/>
          <w:u w:val="single"/>
        </w:rPr>
        <w:t>(</w:t>
      </w:r>
      <w:hyperlink r:id="rId2">
        <w:r>
          <w:rPr>
            <w:rFonts w:ascii="PT Astra Serif" w:hAnsi="PT Astra Serif"/>
            <w:color w:val="auto"/>
            <w:sz w:val="26"/>
            <w:szCs w:val="26"/>
          </w:rPr>
          <w:t>https://gosvet.tomsk.gov.ru/antimonopolnyj-komplaens</w:t>
        </w:r>
      </w:hyperlink>
      <w:r>
        <w:rPr>
          <w:rFonts w:ascii="PT Astra Serif" w:hAnsi="PT Astra Serif"/>
          <w:color w:val="auto"/>
          <w:sz w:val="26"/>
          <w:szCs w:val="26"/>
          <w:u w:val="single"/>
        </w:rPr>
        <w:t>).</w:t>
      </w:r>
    </w:p>
    <w:p>
      <w:pPr>
        <w:pStyle w:val="Normal"/>
        <w:spacing w:lineRule="auto" w:line="240" w:before="0" w:after="0"/>
        <w:ind w:firstLine="426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>Ответственное подразделение за внедрение и функционирование системы внутреннего обеспечения</w:t>
      </w:r>
      <w:r>
        <w:rPr>
          <w:rFonts w:eastAsia="PT Astra Serif" w:ascii="PT Astra Serif" w:hAnsi="PT Astra Serif"/>
          <w:color w:val="auto"/>
          <w:sz w:val="26"/>
          <w:szCs w:val="26"/>
        </w:rPr>
        <w:t xml:space="preserve"> соответствия требованиям антимонопольного законодательства является Комитет правового и информационно-аналитического обеспечения Департамента ветеринарии Томской области.</w:t>
      </w:r>
      <w:r>
        <w:rPr>
          <w:rFonts w:ascii="PT Astra Serif" w:hAnsi="PT Astra Serif"/>
          <w:color w:val="auto"/>
          <w:sz w:val="26"/>
          <w:szCs w:val="26"/>
        </w:rPr>
        <w:t xml:space="preserve">   </w:t>
      </w:r>
    </w:p>
    <w:p>
      <w:pPr>
        <w:pStyle w:val="Normal"/>
        <w:shd w:val="clear" w:color="auto" w:fill="FFFFFF"/>
        <w:spacing w:lineRule="auto" w:line="240" w:before="0" w:after="0"/>
        <w:ind w:firstLine="426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>2. Информация о проведенных мероприятиях по реализации антимонопольного комплаенса.</w:t>
      </w:r>
    </w:p>
    <w:p>
      <w:pPr>
        <w:pStyle w:val="Normal"/>
        <w:shd w:val="clear" w:color="auto" w:fill="FFFFFF"/>
        <w:spacing w:lineRule="auto" w:line="240" w:before="0" w:after="0"/>
        <w:ind w:firstLine="426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>2.1. </w:t>
      </w:r>
      <w:r>
        <w:rPr>
          <w:rFonts w:ascii="PT Astra Serif" w:hAnsi="PT Astra Serif"/>
          <w:bCs/>
          <w:color w:val="auto"/>
          <w:sz w:val="26"/>
          <w:szCs w:val="26"/>
        </w:rPr>
        <w:t>Анализ выявленных нарушений антимонопольного законодательства (далее - АМЗ) в деятельности Департамента за отчетный год</w:t>
      </w:r>
      <w:bookmarkStart w:id="0" w:name="_GoBack"/>
      <w:bookmarkEnd w:id="0"/>
      <w:r>
        <w:rPr>
          <w:rFonts w:ascii="PT Astra Serif" w:hAnsi="PT Astra Serif"/>
          <w:bCs/>
          <w:color w:val="auto"/>
          <w:sz w:val="26"/>
          <w:szCs w:val="26"/>
        </w:rPr>
        <w:t>:</w:t>
      </w:r>
    </w:p>
    <w:p>
      <w:pPr>
        <w:pStyle w:val="Normal"/>
        <w:shd w:val="clear" w:color="auto" w:fill="FFFFFF"/>
        <w:spacing w:lineRule="auto" w:line="240" w:before="0" w:after="0"/>
        <w:ind w:firstLine="426"/>
        <w:jc w:val="both"/>
        <w:rPr>
          <w:color w:val="auto"/>
        </w:rPr>
      </w:pPr>
      <w:r>
        <w:rPr>
          <w:rFonts w:ascii="PT Astra Serif" w:hAnsi="PT Astra Serif"/>
          <w:bCs/>
          <w:color w:val="auto"/>
          <w:sz w:val="26"/>
          <w:szCs w:val="26"/>
        </w:rPr>
        <w:t xml:space="preserve">Департаментом ветеринарии Томской области в 2022 году нарушения АМЗ не выявлены. </w:t>
      </w:r>
    </w:p>
    <w:p>
      <w:pPr>
        <w:pStyle w:val="Normal"/>
        <w:shd w:val="clear" w:color="auto" w:fill="FFFFFF"/>
        <w:spacing w:lineRule="auto" w:line="240" w:before="0" w:after="0"/>
        <w:ind w:firstLine="426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2.2. Анализ действующих нормативных правовых актов, разработчиком которых является </w:t>
      </w:r>
      <w:r>
        <w:rPr>
          <w:rFonts w:ascii="PT Astra Serif" w:hAnsi="PT Astra Serif"/>
          <w:bCs/>
          <w:color w:val="auto"/>
          <w:sz w:val="26"/>
          <w:szCs w:val="26"/>
        </w:rPr>
        <w:t>Департамент ветеринарии Томской области</w:t>
      </w:r>
      <w:r>
        <w:rPr>
          <w:rFonts w:ascii="PT Astra Serif" w:hAnsi="PT Astra Serif"/>
          <w:color w:val="auto"/>
          <w:sz w:val="26"/>
          <w:szCs w:val="26"/>
        </w:rPr>
        <w:t>, на предмет их соответствия АМЗ: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>не осуществлялось.</w:t>
      </w:r>
    </w:p>
    <w:p>
      <w:pPr>
        <w:pStyle w:val="Normal"/>
        <w:shd w:val="clear" w:color="auto" w:fill="FFFFFF"/>
        <w:spacing w:lineRule="auto" w:line="240" w:before="0" w:after="0"/>
        <w:ind w:firstLine="426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2.3. Анализ проектов нормативных правовых актов, разработанных </w:t>
      </w:r>
      <w:r>
        <w:rPr>
          <w:rFonts w:ascii="PT Astra Serif" w:hAnsi="PT Astra Serif"/>
          <w:bCs/>
          <w:color w:val="auto"/>
          <w:sz w:val="26"/>
          <w:szCs w:val="26"/>
        </w:rPr>
        <w:t>Департаментом ветеринарии Томской области,</w:t>
      </w:r>
      <w:r>
        <w:rPr>
          <w:rFonts w:ascii="PT Astra Serif" w:hAnsi="PT Astra Serif"/>
          <w:color w:val="auto"/>
          <w:sz w:val="26"/>
          <w:szCs w:val="26"/>
        </w:rPr>
        <w:t xml:space="preserve"> на предмет их соответствия АМЗ</w:t>
      </w:r>
      <w:r>
        <w:rPr>
          <w:rFonts w:ascii="PT Astra Serif" w:hAnsi="PT Astra Serif"/>
          <w:bCs/>
          <w:color w:val="auto"/>
          <w:sz w:val="26"/>
          <w:szCs w:val="26"/>
        </w:rPr>
        <w:t>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>не осуществлялось.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 xml:space="preserve">      </w:t>
      </w:r>
      <w:r>
        <w:rPr>
          <w:rFonts w:ascii="PT Astra Serif" w:hAnsi="PT Astra Serif"/>
          <w:color w:val="auto"/>
          <w:sz w:val="26"/>
          <w:szCs w:val="26"/>
        </w:rPr>
        <w:t>2.4. </w:t>
      </w:r>
      <w:r>
        <w:rPr>
          <w:rFonts w:ascii="PT Astra Serif" w:hAnsi="PT Astra Serif"/>
          <w:bCs/>
          <w:color w:val="auto"/>
          <w:sz w:val="26"/>
          <w:szCs w:val="26"/>
        </w:rPr>
        <w:t>Мониторинг и анализ практики АМЗ: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auto"/>
        </w:rPr>
      </w:pPr>
      <w:r>
        <w:rPr>
          <w:rFonts w:ascii="PT Astra Serif" w:hAnsi="PT Astra Serif"/>
          <w:bCs/>
          <w:color w:val="auto"/>
          <w:sz w:val="26"/>
          <w:szCs w:val="26"/>
        </w:rPr>
        <w:t>В рамках осуществления контроля за осуществлением отдельных переданных полномочий по исполнению положений Закона Томской области от 11 апреля 2013 года</w:t>
        <w:br/>
        <w:t>№ 51-ОЗ «О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 животными без владельцев» Департаментом ветеринарии Томской области проведен анализ практики по вопросам, связанным с применением законодательства о контрактной системе в сфере закупок товаров, работ, услуг для обеспечения государственных и муниципальных нужд органами местного самоуправления при привлечении юридических лиц индивидуальных предпринимателей в качестве исполнителей мероприятий при осуществлении деятельности по обращению с животными без владельцев.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auto"/>
        </w:rPr>
      </w:pPr>
      <w:r>
        <w:rPr>
          <w:rFonts w:ascii="PT Astra Serif" w:hAnsi="PT Astra Serif"/>
          <w:bCs/>
          <w:color w:val="auto"/>
          <w:sz w:val="26"/>
          <w:szCs w:val="26"/>
        </w:rPr>
        <w:t>2.5. </w:t>
      </w:r>
      <w:r>
        <w:rPr>
          <w:rFonts w:ascii="PT Astra Serif" w:hAnsi="PT Astra Serif"/>
          <w:color w:val="auto"/>
          <w:sz w:val="26"/>
          <w:szCs w:val="26"/>
        </w:rPr>
        <w:t>Проведение оценки выполнения мероприятий по снижению рисков нарушения АМЗ в исполнительных органах государственной власти (далее - ИОГВ):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auto"/>
        </w:rPr>
      </w:pPr>
      <w:r>
        <w:rPr>
          <w:rFonts w:ascii="PT Astra Serif" w:hAnsi="PT Astra Serif"/>
          <w:color w:val="auto"/>
          <w:sz w:val="26"/>
          <w:szCs w:val="26"/>
        </w:rPr>
        <w:t>При подготовке правовых актов Департаментом проводится правовая экспертиза правовых актов.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auto"/>
        </w:rPr>
      </w:pPr>
      <w:r>
        <w:rPr>
          <w:rFonts w:ascii="PT Astra Serif" w:hAnsi="PT Astra Serif"/>
          <w:bCs/>
          <w:color w:val="auto"/>
          <w:sz w:val="26"/>
          <w:szCs w:val="26"/>
        </w:rPr>
        <w:t>3. Оценка эффективности функционирования в ИОГВ антимонопольного комплаенса представлена в Приложении к докладу.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auto"/>
        </w:rPr>
      </w:pPr>
      <w:r>
        <w:rPr>
          <w:rFonts w:ascii="PT Astra Serif" w:hAnsi="PT Astra Serif"/>
          <w:bCs/>
          <w:color w:val="auto"/>
          <w:sz w:val="26"/>
          <w:szCs w:val="26"/>
        </w:rPr>
        <w:t>4. Выводы.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auto"/>
        </w:rPr>
      </w:pPr>
      <w:r>
        <w:rPr>
          <w:rFonts w:ascii="PT Astra Serif" w:hAnsi="PT Astra Serif"/>
          <w:bCs/>
          <w:color w:val="auto"/>
          <w:sz w:val="26"/>
          <w:szCs w:val="26"/>
        </w:rPr>
        <w:t>В 2022 году была проведена эффективная работа по функционированию антимонопольного комплаенса в Департаменте ветеринарии Томской области.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auto"/>
        </w:rPr>
      </w:pPr>
      <w:r>
        <w:rPr>
          <w:rFonts w:ascii="PT Astra Serif" w:hAnsi="PT Astra Serif"/>
          <w:bCs/>
          <w:color w:val="auto"/>
          <w:sz w:val="26"/>
          <w:szCs w:val="26"/>
        </w:rPr>
        <w:t xml:space="preserve">Департаментом ветеринарии Томской области продолжается работа по недопущению нарушений антимонопольного законодательства. Ознакомление сотрудников Департамента с нормативно-правовыми актами антимонопольного законодательства проводится на постоянной основе. </w:t>
      </w:r>
    </w:p>
    <w:p>
      <w:pPr>
        <w:sectPr>
          <w:type w:val="nextPage"/>
          <w:pgSz w:w="11906" w:h="16838"/>
          <w:pgMar w:left="1134" w:right="566" w:header="0" w:top="709" w:footer="0" w:bottom="284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240" w:before="0" w:after="0"/>
        <w:rPr>
          <w:rFonts w:ascii="PT Astra Serif" w:hAnsi="PT Astra Serif"/>
          <w:bCs/>
          <w:color w:val="auto"/>
          <w:sz w:val="26"/>
          <w:szCs w:val="26"/>
        </w:rPr>
      </w:pPr>
      <w:r>
        <w:rPr>
          <w:rFonts w:ascii="PT Astra Serif" w:hAnsi="PT Astra Serif"/>
          <w:bCs/>
          <w:color w:val="auto"/>
          <w:sz w:val="26"/>
          <w:szCs w:val="26"/>
        </w:rPr>
      </w:r>
    </w:p>
    <w:p>
      <w:pPr>
        <w:pStyle w:val="Normal"/>
        <w:rPr>
          <w:color w:val="auto"/>
        </w:rPr>
      </w:pPr>
      <w:r>
        <w:rPr>
          <w:color w:val="auto"/>
        </w:rPr>
      </w:r>
    </w:p>
    <w:tbl>
      <w:tblPr>
        <w:tblStyle w:val="a5"/>
        <w:tblW w:w="15483" w:type="dxa"/>
        <w:jc w:val="left"/>
        <w:tblInd w:w="534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65"/>
        <w:gridCol w:w="4929"/>
        <w:gridCol w:w="3436"/>
        <w:gridCol w:w="2725"/>
        <w:gridCol w:w="2268"/>
        <w:gridCol w:w="1559"/>
      </w:tblGrid>
      <w:tr>
        <w:trPr/>
        <w:tc>
          <w:tcPr>
            <w:tcW w:w="15482" w:type="dxa"/>
            <w:gridSpan w:val="6"/>
            <w:tcBorders>
              <w:top w:val="nil"/>
              <w:left w:val="nil"/>
              <w:right w:val="nil"/>
            </w:tcBorders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Приложение</w:t>
            </w:r>
          </w:p>
          <w:p>
            <w:pPr>
              <w:pStyle w:val="Normal"/>
              <w:spacing w:lineRule="auto" w:line="240" w:before="0" w:after="0"/>
              <w:jc w:val="right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</w:tr>
      <w:tr>
        <w:trPr/>
        <w:tc>
          <w:tcPr>
            <w:tcW w:w="565" w:type="dxa"/>
            <w:vMerge w:val="restart"/>
            <w:tcBorders>
              <w:right w:val="single" w:sz="6" w:space="0" w:color="000000"/>
            </w:tcBorders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 xml:space="preserve">№ </w:t>
            </w: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п/п</w:t>
            </w:r>
          </w:p>
        </w:tc>
        <w:tc>
          <w:tcPr>
            <w:tcW w:w="492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Ключевые показатели эффективности</w:t>
            </w:r>
          </w:p>
        </w:tc>
        <w:tc>
          <w:tcPr>
            <w:tcW w:w="6161" w:type="dxa"/>
            <w:gridSpan w:val="2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Критерии</w:t>
            </w:r>
          </w:p>
        </w:tc>
        <w:tc>
          <w:tcPr>
            <w:tcW w:w="2268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Фактическое значение показателя</w:t>
            </w:r>
          </w:p>
        </w:tc>
        <w:tc>
          <w:tcPr>
            <w:tcW w:w="1559" w:type="dxa"/>
            <w:vMerge w:val="restart"/>
            <w:tcBorders>
              <w:left w:val="single" w:sz="6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Оценка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(балл)</w:t>
            </w:r>
          </w:p>
        </w:tc>
      </w:tr>
      <w:tr>
        <w:trPr/>
        <w:tc>
          <w:tcPr>
            <w:tcW w:w="565" w:type="dxa"/>
            <w:vMerge w:val="continue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4929" w:type="dxa"/>
            <w:vMerge w:val="continue"/>
            <w:tcBorders/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3436" w:type="dxa"/>
            <w:tcBorders/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Значение показателя</w:t>
            </w:r>
          </w:p>
        </w:tc>
        <w:tc>
          <w:tcPr>
            <w:tcW w:w="2725" w:type="dxa"/>
            <w:tcBorders/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Оценка (балл)</w:t>
            </w:r>
          </w:p>
        </w:tc>
        <w:tc>
          <w:tcPr>
            <w:tcW w:w="2268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1559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</w:tr>
      <w:tr>
        <w:trPr>
          <w:trHeight w:val="708" w:hRule="atLeast"/>
        </w:trPr>
        <w:tc>
          <w:tcPr>
            <w:tcW w:w="565" w:type="dxa"/>
            <w:vMerge w:val="restart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1</w:t>
            </w:r>
          </w:p>
        </w:tc>
        <w:tc>
          <w:tcPr>
            <w:tcW w:w="4929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both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Факты выдачи органу исполнительной власти пре</w:t>
              <w:softHyphen/>
              <w:t>дупреждения и (или) решения (предписания) по резуль</w:t>
              <w:softHyphen/>
              <w:t>татам рассмотрения дела о нарушении антимонопольного законодательства (за исключением предупреждений, решений, предписаний, отмененных вступившим в законную силу судебным актом)</w:t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0</w:t>
            </w:r>
          </w:p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2268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1559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30</w:t>
            </w:r>
          </w:p>
        </w:tc>
      </w:tr>
      <w:tr>
        <w:trPr>
          <w:trHeight w:val="708" w:hRule="atLeast"/>
        </w:trPr>
        <w:tc>
          <w:tcPr>
            <w:tcW w:w="565" w:type="dxa"/>
            <w:vMerge w:val="continue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492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both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2268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155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</w:tr>
      <w:tr>
        <w:trPr>
          <w:trHeight w:val="708" w:hRule="atLeast"/>
        </w:trPr>
        <w:tc>
          <w:tcPr>
            <w:tcW w:w="565" w:type="dxa"/>
            <w:vMerge w:val="continue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492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both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Более 1</w:t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268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155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</w:tr>
      <w:tr>
        <w:trPr>
          <w:trHeight w:val="531" w:hRule="atLeast"/>
        </w:trPr>
        <w:tc>
          <w:tcPr>
            <w:tcW w:w="565" w:type="dxa"/>
            <w:vMerge w:val="restart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2</w:t>
            </w:r>
          </w:p>
        </w:tc>
        <w:tc>
          <w:tcPr>
            <w:tcW w:w="4929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both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Вступившие в законную силу решения судов о признании недействительными ненормативных правовых актов, незаконными решений и действий (бездействия) органа исполнительной власти, его должностных лиц ввиду их несоответствия антимонопольному законодательству</w:t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нет</w:t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2268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нет</w:t>
            </w:r>
          </w:p>
        </w:tc>
        <w:tc>
          <w:tcPr>
            <w:tcW w:w="1559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30</w:t>
            </w:r>
          </w:p>
        </w:tc>
      </w:tr>
      <w:tr>
        <w:trPr>
          <w:trHeight w:val="850" w:hRule="atLeast"/>
        </w:trPr>
        <w:tc>
          <w:tcPr>
            <w:tcW w:w="565" w:type="dxa"/>
            <w:vMerge w:val="continue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492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both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менее 15% от числа обжалованных актов, решений и действий (бездействия)</w:t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2268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155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</w:tr>
      <w:tr>
        <w:trPr>
          <w:trHeight w:val="824" w:hRule="atLeast"/>
        </w:trPr>
        <w:tc>
          <w:tcPr>
            <w:tcW w:w="565" w:type="dxa"/>
            <w:vMerge w:val="continue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492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both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15% и более от числа обжалованных актов, решений и действий (бездействия)</w:t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268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155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</w:tr>
      <w:tr>
        <w:trPr>
          <w:trHeight w:val="988" w:hRule="atLeast"/>
        </w:trPr>
        <w:tc>
          <w:tcPr>
            <w:tcW w:w="565" w:type="dxa"/>
            <w:vMerge w:val="restart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3</w:t>
            </w:r>
          </w:p>
        </w:tc>
        <w:tc>
          <w:tcPr>
            <w:tcW w:w="4929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both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Жалобы на решения, действия (бездействие) органа исполнительной власти и (или) его должностных лиц, ведущие к ограничению конкуренции и поданные в органы прокуратуры, в случае принятия прокурором решения об удовлетворении указанных жалоб в установленном законодательством порядке</w:t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нет</w:t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268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нет</w:t>
            </w:r>
          </w:p>
        </w:tc>
        <w:tc>
          <w:tcPr>
            <w:tcW w:w="1559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10</w:t>
            </w:r>
          </w:p>
        </w:tc>
      </w:tr>
      <w:tr>
        <w:trPr>
          <w:trHeight w:val="708" w:hRule="atLeast"/>
        </w:trPr>
        <w:tc>
          <w:tcPr>
            <w:tcW w:w="565" w:type="dxa"/>
            <w:vMerge w:val="continue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4929" w:type="dxa"/>
            <w:vMerge w:val="continue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есть</w:t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268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155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</w:tr>
      <w:tr>
        <w:trPr>
          <w:trHeight w:val="565" w:hRule="atLeast"/>
        </w:trPr>
        <w:tc>
          <w:tcPr>
            <w:tcW w:w="565" w:type="dxa"/>
            <w:vMerge w:val="restart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4</w:t>
            </w:r>
          </w:p>
        </w:tc>
        <w:tc>
          <w:tcPr>
            <w:tcW w:w="4929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/>
              <w:jc w:val="both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Выполнение мероприятий по снижению рисков нарушения антимонопольного законодательства</w:t>
            </w:r>
          </w:p>
          <w:p>
            <w:pPr>
              <w:pStyle w:val="Normal"/>
              <w:spacing w:lineRule="auto" w:line="276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выполнены все мероприятия</w:t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2268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выполнены все мероприятия</w:t>
            </w:r>
          </w:p>
        </w:tc>
        <w:tc>
          <w:tcPr>
            <w:tcW w:w="1559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20</w:t>
            </w:r>
          </w:p>
        </w:tc>
      </w:tr>
      <w:tr>
        <w:trPr>
          <w:trHeight w:val="690" w:hRule="atLeast"/>
        </w:trPr>
        <w:tc>
          <w:tcPr>
            <w:tcW w:w="565" w:type="dxa"/>
            <w:vMerge w:val="continue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492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/>
              <w:jc w:val="both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невыполнение мероприятий</w:t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снижение значения показателя осуществляется пропорционально доле невыполненных мероприятий от общего количества мероприятий</w:t>
            </w:r>
          </w:p>
        </w:tc>
        <w:tc>
          <w:tcPr>
            <w:tcW w:w="2268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155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</w:tr>
      <w:tr>
        <w:trPr>
          <w:trHeight w:val="1032" w:hRule="atLeast"/>
        </w:trPr>
        <w:tc>
          <w:tcPr>
            <w:tcW w:w="565" w:type="dxa"/>
            <w:vMerge w:val="restart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  <w:t>5</w:t>
            </w:r>
          </w:p>
        </w:tc>
        <w:tc>
          <w:tcPr>
            <w:tcW w:w="4929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/>
              <w:jc w:val="both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Доля проектов нормативных правовых актов и/или проектов нормативных правовых актов исполнительного органа власти, связанных с осуществлением деятельности хозяйствующими субъектами, за исключением проектов актов, содержащих сведения, относящиеся к охраняемой законом тайне, прошедших процедуру «общественного контроля»</w:t>
            </w:r>
            <w:r>
              <w:rPr>
                <w:rStyle w:val="Style15"/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footnoteReference w:id="2"/>
            </w: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 xml:space="preserve"> в общем количестве проектов нормативных правовых актов исполнительного органа власти, подлежащих прохождению такой процедуры</w:t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85% и более от всех проектов нормативных правовых актов исполнительного органа государственной власти, подлежащих прохождению процедуры «общественного контроля»</w:t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268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проекты нормативных правовых актов Администрации Томской области, подлежащие прохождению процедуры «общественного контроля», отсутствуют</w:t>
            </w:r>
          </w:p>
        </w:tc>
        <w:tc>
          <w:tcPr>
            <w:tcW w:w="1559" w:type="dxa"/>
            <w:vMerge w:val="restart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10</w:t>
            </w:r>
          </w:p>
        </w:tc>
      </w:tr>
      <w:tr>
        <w:trPr>
          <w:trHeight w:val="1032" w:hRule="atLeast"/>
        </w:trPr>
        <w:tc>
          <w:tcPr>
            <w:tcW w:w="565" w:type="dxa"/>
            <w:vMerge w:val="continue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492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/>
              <w:jc w:val="both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менее 85% от всех проектов нормативных правовых актов исполнительного органа государственной власти, подлежащих прохождению процедуры «общественного контроля»</w:t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2268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155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</w:tr>
      <w:tr>
        <w:trPr>
          <w:trHeight w:val="1032" w:hRule="atLeast"/>
        </w:trPr>
        <w:tc>
          <w:tcPr>
            <w:tcW w:w="565" w:type="dxa"/>
            <w:vMerge w:val="continue"/>
            <w:tcBorders/>
          </w:tcPr>
          <w:p>
            <w:pPr>
              <w:pStyle w:val="Normal"/>
              <w:spacing w:lineRule="auto" w:line="276" w:before="0" w:after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</w:rPr>
            </w:r>
          </w:p>
        </w:tc>
        <w:tc>
          <w:tcPr>
            <w:tcW w:w="492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/>
              <w:jc w:val="both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3436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проекты нормативных правовых актов Администрации Томской области, подлежащие прохождению процедуры «общественного контроля», отсутствуют</w:t>
            </w:r>
          </w:p>
        </w:tc>
        <w:tc>
          <w:tcPr>
            <w:tcW w:w="2725" w:type="dxa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Times New Roman" w:hAnsi="Times New Roman" w:eastAsia="Times New Roman" w:cs="Times New Roman"/>
                <w:color w:val="auto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268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  <w:tc>
          <w:tcPr>
            <w:tcW w:w="1559" w:type="dxa"/>
            <w:vMerge w:val="continue"/>
            <w:tcBorders/>
          </w:tcPr>
          <w:p>
            <w:pPr>
              <w:pStyle w:val="1"/>
              <w:shd w:val="clear" w:color="auto" w:fill="auto"/>
              <w:spacing w:lineRule="auto" w:line="276" w:before="60" w:after="0"/>
              <w:ind w:left="34" w:right="88" w:hanging="0"/>
              <w:jc w:val="center"/>
              <w:rPr>
                <w:rFonts w:ascii="PT Astra Serif" w:hAnsi="PT Astra Serif" w:eastAsia="Times New Roman" w:cs="Times New Roman"/>
                <w:color w:val="auto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 w:ascii="PT Astra Serif" w:hAnsi="PT Astra Serif"/>
                <w:color w:val="auto"/>
                <w:sz w:val="26"/>
                <w:szCs w:val="26"/>
                <w:lang w:eastAsia="ru-RU"/>
              </w:rPr>
            </w:r>
          </w:p>
        </w:tc>
      </w:tr>
    </w:tbl>
    <w:p>
      <w:pPr>
        <w:pStyle w:val="Normal"/>
        <w:spacing w:before="0" w:after="200"/>
        <w:rPr>
          <w:color w:val="auto"/>
        </w:rPr>
      </w:pPr>
      <w:r>
        <w:rPr>
          <w:color w:val="auto"/>
        </w:rPr>
      </w:r>
    </w:p>
    <w:sectPr>
      <w:footnotePr>
        <w:numFmt w:val="decimal"/>
      </w:footnotePr>
      <w:type w:val="nextPage"/>
      <w:pgSz w:orient="landscape" w:w="16838" w:h="11906"/>
      <w:pgMar w:left="425" w:right="567" w:header="0" w:top="709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ConsPlusTitle"/>
        <w:spacing w:lineRule="auto" w:line="276" w:before="0" w:after="240"/>
        <w:ind w:right="-456" w:hanging="0"/>
        <w:rPr>
          <w:sz w:val="24"/>
          <w:szCs w:val="24"/>
        </w:rPr>
      </w:pPr>
      <w:r>
        <w:rPr>
          <w:rStyle w:val="Style20"/>
        </w:rPr>
        <w:footnoteRef/>
      </w:r>
      <w:r>
        <w:rPr>
          <w:b w:val="false"/>
          <w:sz w:val="20"/>
        </w:rPr>
        <w:t xml:space="preserve"> </w:t>
      </w:r>
      <w:r>
        <w:rPr>
          <w:b w:val="false"/>
          <w:sz w:val="24"/>
          <w:szCs w:val="24"/>
        </w:rPr>
        <w:t>размещение на официальном сайте ИОГВ в сети «Интернет» на срок не менее 7 дней</w:t>
      </w:r>
    </w:p>
  </w:footnote>
</w:footnotes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430bc7"/>
    <w:rPr>
      <w:b/>
      <w:bCs/>
    </w:rPr>
  </w:style>
  <w:style w:type="character" w:styleId="Style14" w:customStyle="1">
    <w:name w:val="Основной текст_"/>
    <w:basedOn w:val="DefaultParagraphFont"/>
    <w:link w:val="1"/>
    <w:qFormat/>
    <w:rsid w:val="007d3acf"/>
    <w:rPr>
      <w:sz w:val="27"/>
      <w:szCs w:val="27"/>
      <w:shd w:fill="FFFFFF" w:val="clear"/>
    </w:rPr>
  </w:style>
  <w:style w:type="character" w:styleId="Style15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7d3acf"/>
    <w:rPr>
      <w:vertAlign w:val="superscript"/>
    </w:rPr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4f0a0d"/>
    <w:rPr>
      <w:rFonts w:ascii="Tahoma" w:hAnsi="Tahoma" w:cs="Tahoma"/>
      <w:sz w:val="16"/>
      <w:szCs w:val="16"/>
    </w:rPr>
  </w:style>
  <w:style w:type="character" w:styleId="Style17" w:customStyle="1">
    <w:name w:val="Верхний колонтитул Знак"/>
    <w:basedOn w:val="DefaultParagraphFont"/>
    <w:link w:val="aa"/>
    <w:uiPriority w:val="99"/>
    <w:qFormat/>
    <w:rsid w:val="00426b5f"/>
    <w:rPr/>
  </w:style>
  <w:style w:type="character" w:styleId="Style18" w:customStyle="1">
    <w:name w:val="Нижний колонтитул Знак"/>
    <w:basedOn w:val="DefaultParagraphFont"/>
    <w:link w:val="ac"/>
    <w:uiPriority w:val="99"/>
    <w:qFormat/>
    <w:rsid w:val="00426b5f"/>
    <w:rPr/>
  </w:style>
  <w:style w:type="character" w:styleId="Style19">
    <w:name w:val="Интернет-ссылка"/>
    <w:basedOn w:val="DefaultParagraphFont"/>
    <w:uiPriority w:val="99"/>
    <w:unhideWhenUsed/>
    <w:rsid w:val="00775167"/>
    <w:rPr>
      <w:color w:val="0000FF" w:themeColor="hyperlink"/>
      <w:u w:val="single"/>
    </w:rPr>
  </w:style>
  <w:style w:type="character" w:styleId="Style20">
    <w:name w:val="Символ сноски"/>
    <w:qFormat/>
    <w:rPr/>
  </w:style>
  <w:style w:type="character" w:styleId="Style21">
    <w:name w:val="Привязка концевой сноски"/>
    <w:rPr>
      <w:vertAlign w:val="superscript"/>
    </w:rPr>
  </w:style>
  <w:style w:type="character" w:styleId="Style22">
    <w:name w:val="Символ концевой сноски"/>
    <w:qFormat/>
    <w:rPr/>
  </w:style>
  <w:style w:type="paragraph" w:styleId="Style23">
    <w:name w:val="Заголовок"/>
    <w:basedOn w:val="Normal"/>
    <w:next w:val="Style2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4">
    <w:name w:val="Body Text"/>
    <w:basedOn w:val="Normal"/>
    <w:pPr>
      <w:spacing w:lineRule="auto" w:line="276" w:before="0" w:after="140"/>
    </w:pPr>
    <w:rPr/>
  </w:style>
  <w:style w:type="paragraph" w:styleId="Style25">
    <w:name w:val="List"/>
    <w:basedOn w:val="Style24"/>
    <w:pPr/>
    <w:rPr>
      <w:rFonts w:ascii="PT Astra Serif" w:hAnsi="PT Astra Serif" w:cs="Noto Sans Devanagari"/>
    </w:rPr>
  </w:style>
  <w:style w:type="paragraph" w:styleId="Style2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semiHidden/>
    <w:unhideWhenUsed/>
    <w:qFormat/>
    <w:rsid w:val="00430bc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" w:customStyle="1">
    <w:name w:val="Основной текст1"/>
    <w:basedOn w:val="Normal"/>
    <w:link w:val="a6"/>
    <w:qFormat/>
    <w:rsid w:val="007d3acf"/>
    <w:pPr>
      <w:shd w:val="clear" w:color="auto" w:fill="FFFFFF"/>
      <w:spacing w:lineRule="auto" w:before="0" w:after="0"/>
    </w:pPr>
    <w:rPr>
      <w:sz w:val="27"/>
      <w:szCs w:val="27"/>
    </w:rPr>
  </w:style>
  <w:style w:type="paragraph" w:styleId="ConsPlusTitle" w:customStyle="1">
    <w:name w:val="ConsPlusTitle"/>
    <w:qFormat/>
    <w:rsid w:val="007d3acf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26"/>
      <w:szCs w:val="20"/>
      <w:lang w:eastAsia="ru-RU" w:val="ru-RU" w:bidi="ar-SA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4f0a0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8">
    <w:name w:val="Верхний и нижний колонтитулы"/>
    <w:basedOn w:val="Normal"/>
    <w:qFormat/>
    <w:pPr/>
    <w:rPr/>
  </w:style>
  <w:style w:type="paragraph" w:styleId="Style29">
    <w:name w:val="Header"/>
    <w:basedOn w:val="Normal"/>
    <w:link w:val="ab"/>
    <w:uiPriority w:val="99"/>
    <w:unhideWhenUsed/>
    <w:rsid w:val="00426b5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30">
    <w:name w:val="Footer"/>
    <w:basedOn w:val="Normal"/>
    <w:link w:val="ad"/>
    <w:uiPriority w:val="99"/>
    <w:unhideWhenUsed/>
    <w:rsid w:val="00426b5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16086b"/>
    <w:pPr>
      <w:spacing w:before="0" w:after="200"/>
      <w:ind w:left="720" w:hanging="0"/>
      <w:contextualSpacing/>
    </w:pPr>
    <w:rPr/>
  </w:style>
  <w:style w:type="paragraph" w:styleId="Style31">
    <w:name w:val="Footnote Text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d3acf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osvet.tomsk.gov.ru/antimonopolnyj-komplaens" TargetMode="Externa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6C92D-35CF-4169-891C-A98797EEA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LibreOffice/6.4.7.2$Linux_X86_64 LibreOffice_project/40$Build-2</Application>
  <Pages>5</Pages>
  <Words>704</Words>
  <Characters>5546</Characters>
  <CharactersWithSpaces>6185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2022-03-01T04:28:00Z</dcterms:created>
  <dc:creator>Татьяна Николаевна Власова</dc:creator>
  <dc:description/>
  <dc:language>ru-RU</dc:language>
  <cp:lastModifiedBy/>
  <cp:lastPrinted>2022-03-01T04:27:00Z</cp:lastPrinted>
  <dcterms:modified xsi:type="dcterms:W3CDTF">2023-03-01T16:52:39Z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