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3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ДЕПАРТАМЕНТ ВЕТЕРИНАРИИ</w:t>
        <w:br/>
        <w:t>ТОМСКОЙ ОБЛАСТИ</w:t>
        <w:br/>
        <w:br/>
        <w:t>РАСПОРЯЖЕНИЕ</w:t>
      </w:r>
    </w:p>
    <w:p>
      <w:pPr>
        <w:pStyle w:val="Standard"/>
        <w:tabs>
          <w:tab w:val="clear" w:pos="708"/>
          <w:tab w:val="right" w:pos="9930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andard"/>
        <w:tabs>
          <w:tab w:val="clear" w:pos="708"/>
          <w:tab w:val="right" w:pos="9930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tbl>
      <w:tblPr>
        <w:tblW w:w="9593" w:type="dxa"/>
        <w:jc w:val="left"/>
        <w:tblInd w:w="100" w:type="dxa"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592"/>
        <w:gridCol w:w="4899"/>
        <w:gridCol w:w="386"/>
        <w:gridCol w:w="1391"/>
        <w:gridCol w:w="325"/>
      </w:tblGrid>
      <w:tr>
        <w:trPr>
          <w:trHeight w:val="313" w:hRule="atLeast"/>
        </w:trPr>
        <w:tc>
          <w:tcPr>
            <w:tcW w:w="2592" w:type="dxa"/>
            <w:tcBorders>
              <w:bottom w:val="single" w:sz="4" w:space="0" w:color="00000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20.02.2023</w:t>
            </w:r>
          </w:p>
        </w:tc>
        <w:tc>
          <w:tcPr>
            <w:tcW w:w="4899" w:type="dxa"/>
            <w:tcBorders/>
          </w:tcPr>
          <w:p>
            <w:pPr>
              <w:pStyle w:val="Style22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</w:p>
        </w:tc>
        <w:tc>
          <w:tcPr>
            <w:tcW w:w="386" w:type="dxa"/>
            <w:tcBorders/>
          </w:tcPr>
          <w:p>
            <w:pPr>
              <w:pStyle w:val="Standard"/>
              <w:tabs>
                <w:tab w:val="clear" w:pos="708"/>
                <w:tab w:val="right" w:pos="9930" w:leader="none"/>
              </w:tabs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391" w:type="dxa"/>
            <w:tcBorders>
              <w:bottom w:val="single" w:sz="4" w:space="0" w:color="000000"/>
            </w:tcBorders>
          </w:tcPr>
          <w:p>
            <w:pPr>
              <w:pStyle w:val="Style22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338-р</w:t>
            </w:r>
          </w:p>
        </w:tc>
        <w:tc>
          <w:tcPr>
            <w:tcW w:w="325" w:type="dxa"/>
            <w:tcBorders/>
          </w:tcPr>
          <w:p>
            <w:pPr>
              <w:pStyle w:val="Style22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</w:p>
        </w:tc>
      </w:tr>
      <w:tr>
        <w:trPr>
          <w:trHeight w:val="862" w:hRule="atLeast"/>
        </w:trPr>
        <w:tc>
          <w:tcPr>
            <w:tcW w:w="9593" w:type="dxa"/>
            <w:gridSpan w:val="5"/>
            <w:tcBorders/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</w:p>
        </w:tc>
      </w:tr>
      <w:tr>
        <w:trPr>
          <w:trHeight w:val="626" w:hRule="atLeast"/>
        </w:trPr>
        <w:tc>
          <w:tcPr>
            <w:tcW w:w="9593" w:type="dxa"/>
            <w:gridSpan w:val="5"/>
            <w:tcBorders/>
          </w:tcPr>
          <w:p>
            <w:pPr>
              <w:pStyle w:val="Style22"/>
              <w:jc w:val="center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Об утверждении комплексного плана мероприятий по ликвидации эпизоотического очага бешенства на  отдельной территории </w:t>
            </w:r>
          </w:p>
          <w:p>
            <w:pPr>
              <w:pStyle w:val="Style22"/>
              <w:jc w:val="center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Кожевниковского района Томской области</w:t>
            </w:r>
          </w:p>
        </w:tc>
      </w:tr>
    </w:tbl>
    <w:p>
      <w:pPr>
        <w:pStyle w:val="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andard"/>
        <w:ind w:firstLine="709"/>
        <w:jc w:val="both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  <w:lang w:eastAsia="ar-SA"/>
        </w:rPr>
        <w:t>В соответствии со статьями 3</w:t>
      </w:r>
      <w:r>
        <w:rPr>
          <w:rFonts w:ascii="PT Astra Serif" w:hAnsi="PT Astra Serif"/>
          <w:sz w:val="28"/>
          <w:szCs w:val="28"/>
          <w:vertAlign w:val="superscript"/>
          <w:lang w:eastAsia="ar-SA"/>
        </w:rPr>
        <w:t>1</w:t>
      </w:r>
      <w:r>
        <w:rPr>
          <w:rFonts w:ascii="PT Astra Serif" w:hAnsi="PT Astra Serif"/>
          <w:sz w:val="28"/>
          <w:szCs w:val="28"/>
          <w:lang w:eastAsia="ar-SA"/>
        </w:rPr>
        <w:t xml:space="preserve">, 17 Закона Российской Федерации от 14 мая 1993 года № 4979-1 «О ветеринарии», приказом Минсельхоза России 19.12.2011№ 476 «Об утверждении перечня заразных, в том числе особо опасных болезней животных по которым могут устанавливаться ограничительные мероприятия (карантин)», </w:t>
      </w:r>
      <w:r>
        <w:rPr>
          <w:rFonts w:ascii="PT Astra Serif" w:hAnsi="PT Astra Serif"/>
          <w:sz w:val="28"/>
          <w:szCs w:val="28"/>
        </w:rPr>
        <w:t xml:space="preserve">Ветеринарными правилами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бешенства, утвержденными приказом Минсельхоза России от 25 ноября 2020 года № 705, </w:t>
      </w:r>
      <w:r>
        <w:rPr>
          <w:rFonts w:ascii="PT Astra Serif" w:hAnsi="PT Astra Serif"/>
          <w:sz w:val="28"/>
          <w:szCs w:val="28"/>
          <w:lang w:eastAsia="ar-SA"/>
        </w:rPr>
        <w:t>статьей 4 Закона Томской области от 12 октября 2005 года </w:t>
        <w:br/>
        <w:t>№ 182-ОЗ «Об обеспечении эпизоотического и ветеринарно-санитарного благополучия в Томской области» на основании извещения начальника ОГАУ «Кожевниковское райветуправление» Ю.Б. Журавлева от 20.02.2023 № 104:</w:t>
      </w:r>
    </w:p>
    <w:p>
      <w:pPr>
        <w:pStyle w:val="Style17"/>
        <w:spacing w:before="0" w:after="0"/>
        <w:ind w:firstLine="708"/>
        <w:jc w:val="both"/>
        <w:rPr/>
      </w:pPr>
      <w:r>
        <w:rPr>
          <w:rFonts w:ascii="PT Astra Serif" w:hAnsi="PT Astra Serif"/>
          <w:sz w:val="28"/>
          <w:szCs w:val="28"/>
        </w:rPr>
        <w:t>1. Утвердить прилагаемый Комплексный план мероприятий по ликвидации эпизоотического очага</w:t>
      </w:r>
      <w:r>
        <w:rPr>
          <w:rStyle w:val="2"/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бешенств</w:t>
      </w:r>
      <w:r>
        <w:rPr>
          <w:rStyle w:val="2"/>
          <w:rFonts w:ascii="PT Astra Serif" w:hAnsi="PT Astra Serif"/>
          <w:sz w:val="28"/>
          <w:szCs w:val="28"/>
        </w:rPr>
        <w:t xml:space="preserve">а и предотвращению распространения возбудителя бешенства </w:t>
      </w:r>
      <w:bookmarkStart w:id="0" w:name="selection_index99"/>
      <w:r>
        <w:rPr>
          <w:rFonts w:ascii="PT Astra Serif" w:hAnsi="PT Astra Serif"/>
          <w:sz w:val="28"/>
          <w:szCs w:val="28"/>
        </w:rPr>
        <w:t>в</w:t>
      </w:r>
      <w:bookmarkEnd w:id="0"/>
      <w:r>
        <w:rPr>
          <w:rFonts w:ascii="PT Astra Serif" w:hAnsi="PT Astra Serif"/>
          <w:sz w:val="28"/>
          <w:szCs w:val="28"/>
        </w:rPr>
        <w:t xml:space="preserve"> д. Батурино </w:t>
      </w:r>
      <w:r>
        <w:rPr>
          <w:rStyle w:val="2"/>
          <w:rFonts w:ascii="PT Astra Serif" w:hAnsi="PT Astra Serif"/>
          <w:sz w:val="28"/>
          <w:szCs w:val="28"/>
        </w:rPr>
        <w:t>Кожевниковского района Томской области</w:t>
      </w:r>
      <w:r>
        <w:rPr>
          <w:rFonts w:ascii="PT Astra Serif" w:hAnsi="PT Astra Serif"/>
          <w:sz w:val="28"/>
          <w:szCs w:val="28"/>
        </w:rPr>
        <w:t>.</w:t>
      </w:r>
    </w:p>
    <w:p>
      <w:pPr>
        <w:pStyle w:val="Standard"/>
        <w:ind w:firstLine="709"/>
        <w:jc w:val="both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 Комитету правового и информационно-аналитического обеспечения обеспечить размещение настоящего распоряжения на официальном сайте Департамента ветеринарии Томской области.</w:t>
      </w:r>
    </w:p>
    <w:p>
      <w:pPr>
        <w:pStyle w:val="Standard"/>
        <w:ind w:firstLine="709"/>
        <w:jc w:val="both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 Контроль за исполнением настоящего распоряжения возложить на заместителя начальника департамента, председателя комитета организации ветеринарной деятельности. </w:t>
      </w:r>
    </w:p>
    <w:p>
      <w:pPr>
        <w:pStyle w:val="Standard"/>
        <w:spacing w:lineRule="auto" w:line="360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andard"/>
        <w:spacing w:lineRule="auto" w:line="360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sectPr>
          <w:type w:val="nextPage"/>
          <w:pgSz w:w="11906" w:h="16838"/>
          <w:pgMar w:left="1276" w:right="850" w:header="0" w:top="1134" w:footer="0" w:bottom="1134" w:gutter="0"/>
          <w:pgNumType w:fmt="decimal"/>
          <w:formProt w:val="false"/>
          <w:textDirection w:val="lrTb"/>
          <w:docGrid w:type="default" w:linePitch="360" w:charSpace="4096"/>
        </w:sectPr>
        <w:pStyle w:val="Standard"/>
        <w:spacing w:lineRule="auto" w:line="360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Начальник департамента</w:t>
        <w:tab/>
        <w:tab/>
        <w:tab/>
        <w:tab/>
        <w:tab/>
        <w:tab/>
        <w:tab/>
        <w:t xml:space="preserve">     В.В.Табакаев</w:t>
      </w:r>
    </w:p>
    <w:p>
      <w:pPr>
        <w:pStyle w:val="ConsPlusDocList"/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  <w:t>УТВЕРЖДЕН</w:t>
      </w:r>
    </w:p>
    <w:p>
      <w:pPr>
        <w:pStyle w:val="ConsPlusDocList"/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  <w:t xml:space="preserve">распоряжением Департамента ветеринарии Томской области </w:t>
      </w:r>
    </w:p>
    <w:p>
      <w:pPr>
        <w:pStyle w:val="Normal"/>
        <w:jc w:val="right"/>
        <w:rPr/>
      </w:pPr>
      <w:r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20.02.2023</w:t>
      </w:r>
      <w:r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338-р</w:t>
      </w:r>
    </w:p>
    <w:p>
      <w:pPr>
        <w:pStyle w:val="Style17"/>
        <w:spacing w:before="0" w:after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17"/>
        <w:spacing w:before="0" w:after="0"/>
        <w:jc w:val="center"/>
        <w:rPr/>
      </w:pPr>
      <w:r>
        <w:rPr>
          <w:rFonts w:ascii="PT Astra Serif" w:hAnsi="PT Astra Serif"/>
          <w:sz w:val="28"/>
          <w:szCs w:val="28"/>
        </w:rPr>
        <w:t>Комплексный план мероприятий по ликвидации эпизоотического очага</w:t>
      </w:r>
      <w:r>
        <w:rPr>
          <w:rStyle w:val="2"/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бешенств</w:t>
      </w:r>
      <w:r>
        <w:rPr>
          <w:rStyle w:val="2"/>
          <w:rFonts w:ascii="PT Astra Serif" w:hAnsi="PT Astra Serif"/>
          <w:sz w:val="28"/>
          <w:szCs w:val="28"/>
        </w:rPr>
        <w:t xml:space="preserve">а и предотвращению распространения возбудителя бешенства </w:t>
      </w:r>
      <w:bookmarkStart w:id="1" w:name="selection_index991"/>
      <w:r>
        <w:rPr>
          <w:rFonts w:ascii="PT Astra Serif" w:hAnsi="PT Astra Serif"/>
          <w:sz w:val="28"/>
          <w:szCs w:val="28"/>
        </w:rPr>
        <w:t>в</w:t>
      </w:r>
      <w:bookmarkEnd w:id="1"/>
      <w:r>
        <w:rPr>
          <w:rFonts w:ascii="PT Astra Serif" w:hAnsi="PT Astra Serif"/>
          <w:sz w:val="28"/>
          <w:szCs w:val="28"/>
        </w:rPr>
        <w:t xml:space="preserve"> д. Батурино </w:t>
      </w:r>
      <w:r>
        <w:rPr>
          <w:rStyle w:val="2"/>
          <w:rFonts w:ascii="PT Astra Serif" w:hAnsi="PT Astra Serif"/>
          <w:sz w:val="28"/>
          <w:szCs w:val="28"/>
        </w:rPr>
        <w:t>Кожевниковского района Томской области</w:t>
      </w:r>
    </w:p>
    <w:p>
      <w:pPr>
        <w:pStyle w:val="Style17"/>
        <w:spacing w:before="0" w:after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tbl>
      <w:tblPr>
        <w:tblW w:w="14672" w:type="dxa"/>
        <w:jc w:val="left"/>
        <w:tblInd w:w="2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0"/>
        <w:gridCol w:w="7412"/>
        <w:gridCol w:w="3053"/>
        <w:gridCol w:w="3747"/>
        <w:gridCol w:w="10"/>
      </w:tblGrid>
      <w:tr>
        <w:trPr/>
        <w:tc>
          <w:tcPr>
            <w:tcW w:w="4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bookmarkStart w:id="2" w:name="selection_index100"/>
            <w:r>
              <w:rPr>
                <w:rFonts w:ascii="PT Astra Serif" w:hAnsi="PT Astra Serif"/>
                <w:sz w:val="28"/>
                <w:szCs w:val="28"/>
              </w:rPr>
              <w:t>№</w:t>
            </w:r>
            <w:r>
              <w:rPr>
                <w:rFonts w:eastAsia="Times New Roman" w:cs="Times New Roman"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п/п</w:t>
            </w:r>
            <w:bookmarkEnd w:id="2"/>
          </w:p>
        </w:tc>
        <w:tc>
          <w:tcPr>
            <w:tcW w:w="741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bookmarkStart w:id="3" w:name="selection_index101"/>
            <w:r>
              <w:rPr>
                <w:rFonts w:ascii="PT Astra Serif" w:hAnsi="PT Astra Serif"/>
                <w:sz w:val="28"/>
                <w:szCs w:val="28"/>
              </w:rPr>
              <w:t>Наименование мероприятий</w:t>
            </w:r>
            <w:bookmarkEnd w:id="3"/>
          </w:p>
        </w:tc>
        <w:tc>
          <w:tcPr>
            <w:tcW w:w="305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bookmarkStart w:id="4" w:name="selection_index102"/>
            <w:r>
              <w:rPr>
                <w:rFonts w:ascii="PT Astra Serif" w:hAnsi="PT Astra Serif"/>
                <w:sz w:val="28"/>
                <w:szCs w:val="28"/>
              </w:rPr>
              <w:t>Сроки исполнения</w:t>
            </w:r>
            <w:bookmarkEnd w:id="4"/>
          </w:p>
        </w:tc>
        <w:tc>
          <w:tcPr>
            <w:tcW w:w="3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>
            <w:pPr>
              <w:pStyle w:val="Style22"/>
              <w:jc w:val="center"/>
              <w:rPr/>
            </w:pPr>
            <w:r>
              <w:rPr>
                <w:rStyle w:val="2"/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сполнител</w:t>
            </w:r>
            <w:r>
              <w:rPr>
                <w:rStyle w:val="2"/>
                <w:rFonts w:ascii="PT Astra Serif" w:hAnsi="PT Astra Serif"/>
                <w:sz w:val="28"/>
                <w:szCs w:val="28"/>
              </w:rPr>
              <w:t>и</w:t>
            </w:r>
          </w:p>
        </w:tc>
      </w:tr>
      <w:tr>
        <w:trPr/>
        <w:tc>
          <w:tcPr>
            <w:tcW w:w="14672" w:type="dxa"/>
            <w:gridSpan w:val="4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2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эпизоотическом очаге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bookmarkStart w:id="5" w:name="selection_index104"/>
            <w:r>
              <w:rPr>
                <w:rFonts w:ascii="PT Astra Serif" w:hAnsi="PT Astra Serif"/>
                <w:sz w:val="28"/>
                <w:szCs w:val="28"/>
              </w:rPr>
              <w:t>1</w:t>
            </w:r>
            <w:bookmarkEnd w:id="5"/>
          </w:p>
        </w:tc>
        <w:tc>
          <w:tcPr>
            <w:tcW w:w="7412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7"/>
              <w:spacing w:before="0" w:after="0"/>
              <w:jc w:val="both"/>
              <w:rPr/>
            </w:pPr>
            <w:r>
              <w:rPr>
                <w:rStyle w:val="2"/>
                <w:rFonts w:ascii="PT Astra Serif" w:hAnsi="PT Astra Serif"/>
                <w:sz w:val="28"/>
                <w:szCs w:val="28"/>
              </w:rPr>
              <w:t>Обеспечить наблюдение за восприимчивыми животными, контактировавшими с больным восприимчивым животным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7"/>
              <w:spacing w:before="0" w:after="0"/>
              <w:jc w:val="center"/>
              <w:rPr/>
            </w:pPr>
            <w:r>
              <w:rPr>
                <w:rStyle w:val="2"/>
                <w:rFonts w:ascii="PT Astra Serif" w:hAnsi="PT Astra Serif"/>
                <w:sz w:val="28"/>
                <w:szCs w:val="28"/>
              </w:rPr>
              <w:t>Не менее 10 календарных дней с момента контакта с больным животным</w:t>
            </w:r>
          </w:p>
        </w:tc>
        <w:tc>
          <w:tcPr>
            <w:tcW w:w="375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7412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7"/>
              <w:spacing w:before="0"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Обеспечить вакцинацию против бешенства всех восприимчивых животных, не вакцинированных против бешенства или с момента вакцинации которых прошло 180 календарных дней и более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7"/>
              <w:spacing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Немедленно</w:t>
            </w:r>
          </w:p>
        </w:tc>
        <w:tc>
          <w:tcPr>
            <w:tcW w:w="375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2"/>
              <w:jc w:val="center"/>
              <w:rPr/>
            </w:pPr>
            <w:r>
              <w:rPr>
                <w:rFonts w:eastAsia="Lucida Sans Unicode" w:cs="Mangal" w:ascii="PT Astra Serif" w:hAnsi="PT Astra Serif"/>
                <w:kern w:val="2"/>
                <w:sz w:val="28"/>
                <w:szCs w:val="28"/>
                <w:lang w:eastAsia="zh-CN" w:bidi="hi-IN"/>
              </w:rPr>
              <w:t>&lt;фамилия, имя, отчекство&gt;</w:t>
            </w:r>
          </w:p>
          <w:p>
            <w:pPr>
              <w:pStyle w:val="Style22"/>
              <w:jc w:val="center"/>
              <w:rPr/>
            </w:pPr>
            <w:r>
              <w:rPr>
                <w:rFonts w:ascii="PT Astra Serif" w:hAnsi="PT Astra Serif"/>
                <w:sz w:val="28"/>
                <w:szCs w:val="28"/>
              </w:rPr>
              <w:t xml:space="preserve"> – </w:t>
            </w:r>
            <w:r>
              <w:rPr>
                <w:rFonts w:ascii="PT Astra Serif" w:hAnsi="PT Astra Serif"/>
                <w:sz w:val="28"/>
                <w:szCs w:val="28"/>
              </w:rPr>
              <w:t>далее Владелец неблагополучного ЛПХ;</w:t>
            </w:r>
          </w:p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7412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7"/>
              <w:spacing w:before="0"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Обеспечить изолированное содержание вакцинированных восприимчивых животных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7"/>
              <w:spacing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течение 60 календарных дней после вакцинации</w:t>
            </w:r>
          </w:p>
        </w:tc>
        <w:tc>
          <w:tcPr>
            <w:tcW w:w="375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Владелец неблагополучного ЛПХ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7412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7"/>
              <w:spacing w:before="0"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Обеспечить изъятие и бескровный убой восприимчивых животных, проявивших в период наблюдения клинические признаки, характерные для бешенства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7"/>
              <w:spacing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Немедленно в случае появления клинических признаков, характерных для бешенства</w:t>
            </w:r>
          </w:p>
        </w:tc>
        <w:tc>
          <w:tcPr>
            <w:tcW w:w="375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7412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7"/>
              <w:spacing w:before="0"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Обеспечить дезинфекционную обработку одежды и обуви дезинфицирующими средствами с высокой вирулицидной активностью в отношении возбудителя согласно инструкциям по их применению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7"/>
              <w:spacing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При выходе с территории эпизоотического очага</w:t>
            </w:r>
          </w:p>
        </w:tc>
        <w:tc>
          <w:tcPr>
            <w:tcW w:w="375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Владелец неблагополучного ЛПХ;</w:t>
            </w:r>
          </w:p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7412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7"/>
              <w:spacing w:before="0"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Обеспечить проведение дератизации 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7"/>
              <w:spacing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период действия ограничительных мероприятий (карантина)</w:t>
            </w:r>
          </w:p>
        </w:tc>
        <w:tc>
          <w:tcPr>
            <w:tcW w:w="375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Владелец неблагополучного ЛПХ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7412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7"/>
              <w:spacing w:before="0"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Обеспечить отсутствие на территории эпизоотического очага животных без владельцев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7"/>
              <w:spacing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период действия ограничительных мероприятий (карантина)</w:t>
            </w:r>
          </w:p>
        </w:tc>
        <w:tc>
          <w:tcPr>
            <w:tcW w:w="375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Владелец неблагополучного ЛПХ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7412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7"/>
              <w:spacing w:before="0"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Исключить участие в мероприятиях по ликвидации эпизоотического очага лиц, имеющих повреждения кожи на руках, лице и других открытых участках тела 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7"/>
              <w:spacing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период действия ограничительных мероприятий (карантина)</w:t>
            </w:r>
          </w:p>
        </w:tc>
        <w:tc>
          <w:tcPr>
            <w:tcW w:w="375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Владелец неблагополучного ЛПХ;</w:t>
            </w:r>
          </w:p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</w:t>
            </w:r>
          </w:p>
        </w:tc>
        <w:tc>
          <w:tcPr>
            <w:tcW w:w="7412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Normal"/>
              <w:spacing w:before="0" w:after="200"/>
              <w:jc w:val="both"/>
              <w:rPr/>
            </w:pPr>
            <w:r>
              <w:rPr>
                <w:rStyle w:val="1"/>
                <w:rFonts w:ascii="PT Astra Serif" w:hAnsi="PT Astra Serif"/>
                <w:sz w:val="28"/>
                <w:szCs w:val="28"/>
              </w:rPr>
              <w:t xml:space="preserve">Подвергнуть дезинфекции места обнаружения трупов больных восприимчивых животных, помещения по содержанию восприимчивых животных и другие объекты, с которыми контактировали больные восприимчивые животные в соответствии с действующими </w:t>
            </w:r>
            <w:r>
              <w:rPr>
                <w:rFonts w:ascii="PT Astra Serif" w:hAnsi="PT Astra Serif"/>
                <w:sz w:val="28"/>
                <w:szCs w:val="28"/>
              </w:rPr>
              <w:t>правилами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бешенства, утвержденными приказом Минсельхоза России от 25.11.2020 года      № 705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Проводится в три этапа:</w:t>
            </w:r>
          </w:p>
          <w:p>
            <w:pPr>
              <w:pStyle w:val="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1) сразу после изоляции больных животных;</w:t>
            </w:r>
          </w:p>
          <w:p>
            <w:pPr>
              <w:pStyle w:val="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2) после проведения механической очистки;</w:t>
            </w:r>
          </w:p>
          <w:p>
            <w:pPr>
              <w:pStyle w:val="Normal"/>
              <w:spacing w:before="0" w:after="20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3) перед отменой карантина</w:t>
            </w:r>
          </w:p>
        </w:tc>
        <w:tc>
          <w:tcPr>
            <w:tcW w:w="375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Владелец неблагополучного ЛПХ</w:t>
            </w:r>
          </w:p>
        </w:tc>
      </w:tr>
      <w:tr>
        <w:trPr/>
        <w:tc>
          <w:tcPr>
            <w:tcW w:w="14672" w:type="dxa"/>
            <w:gridSpan w:val="4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2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неблагополучном пункте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7412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2"/>
              <w:jc w:val="both"/>
              <w:rPr/>
            </w:pPr>
            <w:r>
              <w:rPr>
                <w:rStyle w:val="2"/>
                <w:rFonts w:ascii="PT Astra Serif" w:hAnsi="PT Astra Serif"/>
                <w:sz w:val="28"/>
                <w:szCs w:val="28"/>
              </w:rPr>
              <w:t>Обеспечить обход личных подсобных хозяйств в которых содержатся восприимчивые животные с целью выявления подозреваемых в заболевании бешенством животных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bookmarkStart w:id="6" w:name="selection_index111"/>
            <w:r>
              <w:rPr>
                <w:rFonts w:ascii="PT Astra Serif" w:hAnsi="PT Astra Serif"/>
                <w:sz w:val="28"/>
                <w:szCs w:val="28"/>
              </w:rPr>
              <w:t>Немедленно, после получения информации о выявлении случая бешенства у животных</w:t>
            </w:r>
            <w:bookmarkEnd w:id="6"/>
          </w:p>
        </w:tc>
        <w:tc>
          <w:tcPr>
            <w:tcW w:w="375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>
            <w:pPr>
              <w:pStyle w:val="Style22"/>
              <w:jc w:val="center"/>
              <w:rPr/>
            </w:pPr>
            <w:r>
              <w:rPr>
                <w:rStyle w:val="2"/>
                <w:rFonts w:ascii="PT Astra Serif" w:hAnsi="PT Astra Serif"/>
                <w:sz w:val="28"/>
                <w:szCs w:val="28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4" w:space="0" w:color="00000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7412" w:type="dxa"/>
            <w:tcBorders>
              <w:left w:val="single" w:sz="8" w:space="0" w:color="808080"/>
              <w:bottom w:val="single" w:sz="4" w:space="0" w:color="000000"/>
            </w:tcBorders>
          </w:tcPr>
          <w:p>
            <w:pPr>
              <w:pStyle w:val="Style17"/>
              <w:spacing w:before="0" w:after="0"/>
              <w:jc w:val="both"/>
              <w:rPr/>
            </w:pPr>
            <w:r>
              <w:rPr>
                <w:rStyle w:val="2"/>
                <w:rFonts w:ascii="PT Astra Serif" w:hAnsi="PT Astra Serif"/>
                <w:sz w:val="28"/>
                <w:szCs w:val="28"/>
              </w:rPr>
              <w:t>Обеспечить вакцинацию против бешенства восприимчивых животных, относящихся к семействам псовых, кошачьих, куньих, а так же крупного рогатого скота, овец, коз, свиней и лошадей, не вакцинированных против бешенства или с момента вакцинации которых прошло 180 календарных дней и более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4" w:space="0" w:color="000000"/>
            </w:tcBorders>
          </w:tcPr>
          <w:p>
            <w:pPr>
              <w:pStyle w:val="Style17"/>
              <w:spacing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Немедленно</w:t>
            </w:r>
          </w:p>
        </w:tc>
        <w:tc>
          <w:tcPr>
            <w:tcW w:w="3757" w:type="dxa"/>
            <w:tcBorders>
              <w:left w:val="single" w:sz="8" w:space="0" w:color="808080"/>
              <w:bottom w:val="single" w:sz="4" w:space="0" w:color="000000"/>
              <w:right w:val="single" w:sz="8" w:space="0" w:color="808080"/>
            </w:tcBorders>
            <w:vAlign w:val="center"/>
          </w:tcPr>
          <w:p>
            <w:pPr>
              <w:pStyle w:val="Style22"/>
              <w:jc w:val="center"/>
              <w:rPr/>
            </w:pPr>
            <w:r>
              <w:rPr>
                <w:rStyle w:val="2"/>
                <w:rFonts w:ascii="PT Astra Serif" w:hAnsi="PT Astra Serif"/>
                <w:sz w:val="28"/>
                <w:szCs w:val="28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7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7"/>
              <w:spacing w:before="0" w:after="0"/>
              <w:jc w:val="both"/>
              <w:rPr/>
            </w:pPr>
            <w:r>
              <w:rPr>
                <w:rStyle w:val="2"/>
                <w:rFonts w:ascii="PT Astra Serif" w:hAnsi="PT Astra Serif"/>
                <w:sz w:val="28"/>
                <w:szCs w:val="28"/>
              </w:rPr>
              <w:t>Обеспечить отсутствие на территории неблагополучного пункта животных без владельцев путем отлова животных без владельца с последующим изолированным содержанием таких животных в течение 14 календарных дней с момента отлова и вакцинацией против бешенства вакцинами согласно инструкциям по их применению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7"/>
              <w:spacing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период действия ограничительных мероприятий (карантина)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jc w:val="center"/>
              <w:rPr/>
            </w:pPr>
            <w:r>
              <w:rPr>
                <w:rStyle w:val="2"/>
                <w:rFonts w:ascii="PT Astra Serif" w:hAnsi="PT Astra Serif"/>
                <w:sz w:val="28"/>
                <w:szCs w:val="28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7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7"/>
              <w:spacing w:before="0" w:after="0"/>
              <w:jc w:val="both"/>
              <w:rPr/>
            </w:pPr>
            <w:r>
              <w:rPr>
                <w:rStyle w:val="2"/>
                <w:rFonts w:ascii="PT Astra Serif" w:hAnsi="PT Astra Serif"/>
                <w:sz w:val="28"/>
                <w:szCs w:val="28"/>
              </w:rPr>
              <w:t>Обеспечить отсутствие восприимчивых животных, отнесенных к охотничьим ресурсам, путем регулирования их численности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7"/>
              <w:spacing w:before="0" w:after="0"/>
              <w:jc w:val="center"/>
              <w:rPr/>
            </w:pPr>
            <w:r>
              <w:rPr>
                <w:rFonts w:ascii="PT Astra Serif" w:hAnsi="PT Astra Serif"/>
                <w:sz w:val="28"/>
                <w:szCs w:val="28"/>
              </w:rPr>
              <w:t>В период действия ограничительных мероприятий (карантина)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jc w:val="center"/>
              <w:rPr/>
            </w:pPr>
            <w:r>
              <w:rPr>
                <w:rStyle w:val="2"/>
                <w:rFonts w:ascii="PT Astra Serif" w:hAnsi="PT Astra Serif"/>
                <w:sz w:val="28"/>
                <w:szCs w:val="28"/>
              </w:rPr>
              <w:t>Департамент охотничьего и рыбного хозяйства Томской области (по согласованию)</w:t>
            </w:r>
          </w:p>
        </w:tc>
      </w:tr>
    </w:tbl>
    <w:p>
      <w:pPr>
        <w:pStyle w:val="Normal"/>
        <w:spacing w:lineRule="auto" w:line="360" w:before="0" w:after="200"/>
        <w:rPr>
          <w:rStyle w:val="2"/>
          <w:rFonts w:ascii="PT Astra Serif" w:hAnsi="PT Astra Serif"/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orient="landscape" w:w="16838" w:h="11906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Arial">
    <w:charset w:val="cc"/>
    <w:family w:val="swiss"/>
    <w:pitch w:val="variable"/>
  </w:font>
  <w:font w:name="PT Astra Serif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6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65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sid w:val="001f17a4"/>
    <w:rPr/>
  </w:style>
  <w:style w:type="character" w:styleId="Style14" w:customStyle="1">
    <w:name w:val="Основной текст Знак"/>
    <w:basedOn w:val="DefaultParagraphFont"/>
    <w:link w:val="a6"/>
    <w:qFormat/>
    <w:rsid w:val="001f17a4"/>
    <w:rPr>
      <w:rFonts w:ascii="Times New Roman" w:hAnsi="Times New Roman" w:eastAsia="Andale Sans UI" w:cs="Tahoma"/>
      <w:kern w:val="2"/>
      <w:sz w:val="24"/>
      <w:szCs w:val="24"/>
      <w:lang w:eastAsia="ja-JP" w:bidi="fa-IR"/>
    </w:rPr>
  </w:style>
  <w:style w:type="character" w:styleId="Style15" w:customStyle="1">
    <w:name w:val="Текст выноски Знак"/>
    <w:basedOn w:val="DefaultParagraphFont"/>
    <w:link w:val="a8"/>
    <w:uiPriority w:val="99"/>
    <w:semiHidden/>
    <w:qFormat/>
    <w:rsid w:val="0010456d"/>
    <w:rPr>
      <w:rFonts w:ascii="Tahoma" w:hAnsi="Tahoma" w:cs="Tahoma"/>
      <w:sz w:val="16"/>
      <w:szCs w:val="16"/>
    </w:rPr>
  </w:style>
  <w:style w:type="character" w:styleId="WW8Num1z0">
    <w:name w:val="WW8Num1z0"/>
    <w:qFormat/>
    <w:rPr>
      <w:sz w:val="26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">
    <w:name w:val="Основной шрифт абзаца1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7">
    <w:name w:val="Body Text"/>
    <w:basedOn w:val="Normal"/>
    <w:link w:val="a7"/>
    <w:rsid w:val="001f17a4"/>
    <w:pPr>
      <w:pBdr/>
      <w:suppressAutoHyphens w:val="true"/>
      <w:spacing w:lineRule="auto" w:line="240" w:before="0" w:after="120"/>
      <w:textAlignment w:val="baseline"/>
    </w:pPr>
    <w:rPr>
      <w:rFonts w:ascii="Times New Roman" w:hAnsi="Times New Roman" w:eastAsia="Andale Sans UI" w:cs="Tahoma"/>
      <w:kern w:val="2"/>
      <w:sz w:val="24"/>
      <w:szCs w:val="24"/>
      <w:lang w:eastAsia="ja-JP" w:bidi="fa-IR"/>
    </w:rPr>
  </w:style>
  <w:style w:type="paragraph" w:styleId="Style18">
    <w:name w:val="List"/>
    <w:basedOn w:val="Style17"/>
    <w:pPr/>
    <w:rPr>
      <w:rFonts w:ascii="PT Astra Serif" w:hAnsi="PT Astra Serif"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andard" w:customStyle="1">
    <w:name w:val="Standard"/>
    <w:qFormat/>
    <w:rsid w:val="000f0393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2"/>
      <w:sz w:val="20"/>
      <w:szCs w:val="20"/>
      <w:lang w:eastAsia="zh-CN" w:val="ru-RU" w:bidi="ar-SA"/>
    </w:rPr>
  </w:style>
  <w:style w:type="paragraph" w:styleId="Style21" w:customStyle="1">
    <w:name w:val="ПодписьСогл_дол+ФИО"/>
    <w:basedOn w:val="Normal"/>
    <w:qFormat/>
    <w:rsid w:val="000f0393"/>
    <w:pPr>
      <w:tabs>
        <w:tab w:val="clear" w:pos="708"/>
        <w:tab w:val="right" w:pos="10035" w:leader="none"/>
      </w:tabs>
      <w:suppressAutoHyphens w:val="true"/>
      <w:spacing w:lineRule="auto" w:line="240" w:before="0" w:after="120"/>
    </w:pPr>
    <w:rPr>
      <w:rFonts w:ascii="Times New Roman" w:hAnsi="Times New Roman" w:eastAsia="Times New Roman" w:cs="Times New Roman"/>
      <w:kern w:val="2"/>
      <w:sz w:val="24"/>
      <w:szCs w:val="24"/>
      <w:lang w:eastAsia="zh-CN"/>
    </w:rPr>
  </w:style>
  <w:style w:type="paragraph" w:styleId="Style22" w:customStyle="1">
    <w:name w:val="Содержимое таблицы"/>
    <w:basedOn w:val="Standard"/>
    <w:qFormat/>
    <w:rsid w:val="000f0393"/>
    <w:pPr>
      <w:widowControl w:val="false"/>
      <w:suppressLineNumbers/>
      <w:jc w:val="both"/>
      <w:textAlignment w:val="baseline"/>
    </w:pPr>
    <w:rPr>
      <w:rFonts w:eastAsia="Lucida Sans Unicode" w:cs="Mangal"/>
      <w:kern w:val="2"/>
      <w:sz w:val="28"/>
      <w:szCs w:val="24"/>
      <w:lang w:bidi="hi-IN"/>
    </w:rPr>
  </w:style>
  <w:style w:type="paragraph" w:styleId="Style23" w:customStyle="1">
    <w:name w:val="Текст шапки"/>
    <w:basedOn w:val="Normal"/>
    <w:qFormat/>
    <w:rsid w:val="000f0393"/>
    <w:pPr>
      <w:widowControl w:val="false"/>
      <w:suppressAutoHyphens w:val="true"/>
      <w:spacing w:lineRule="auto" w:line="240" w:before="0" w:after="0"/>
      <w:jc w:val="center"/>
      <w:textAlignment w:val="baseline"/>
    </w:pPr>
    <w:rPr>
      <w:rFonts w:ascii="Times New Roman" w:hAnsi="Times New Roman" w:eastAsia="Lucida Sans Unicode" w:cs="Mangal"/>
      <w:b/>
      <w:bCs/>
      <w:kern w:val="2"/>
      <w:sz w:val="30"/>
      <w:szCs w:val="30"/>
      <w:lang w:eastAsia="zh-CN" w:bidi="hi-IN"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10456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sPlusDocList">
    <w:name w:val="ConsPlusDocList"/>
    <w:next w:val="Normal"/>
    <w:qFormat/>
    <w:pPr>
      <w:widowControl w:val="false"/>
      <w:pBdr/>
      <w:suppressAutoHyphens w:val="true"/>
      <w:bidi w:val="0"/>
      <w:spacing w:lineRule="auto" w:line="276" w:before="0" w:after="200"/>
      <w:jc w:val="left"/>
      <w:textAlignment w:val="baseline"/>
    </w:pPr>
    <w:rPr>
      <w:rFonts w:ascii="Arial" w:hAnsi="Arial" w:eastAsia="Arial" w:cs="Arial"/>
      <w:color w:val="auto"/>
      <w:kern w:val="2"/>
      <w:sz w:val="20"/>
      <w:szCs w:val="20"/>
      <w:lang w:val="ru-RU" w:eastAsia="ja-JP" w:bidi="fa-IR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Application>LibreOffice/6.4.7.2$Linux_X86_64 LibreOffice_project/40$Build-2</Application>
  <Pages>4</Pages>
  <Words>690</Words>
  <Characters>5226</Characters>
  <CharactersWithSpaces>5860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2022-03-03T10:34:00Z</dcterms:created>
  <dc:creator>Ольга Николаевна Семенова</dc:creator>
  <dc:description/>
  <dc:language>ru-RU</dc:language>
  <cp:lastModifiedBy/>
  <cp:lastPrinted>2023-02-20T07:30:00Z</cp:lastPrinted>
  <dcterms:modified xsi:type="dcterms:W3CDTF">2023-02-22T12:01:37Z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