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Standard"/>
        <w:tabs>
          <w:tab w:val="clear" w:pos="708"/>
          <w:tab w:val="right" w:pos="9930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andard"/>
        <w:tabs>
          <w:tab w:val="clear" w:pos="708"/>
          <w:tab w:val="right" w:pos="9930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W w:w="9593" w:type="dxa"/>
        <w:jc w:val="left"/>
        <w:tblInd w:w="100" w:type="dxa"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592"/>
        <w:gridCol w:w="4899"/>
        <w:gridCol w:w="386"/>
        <w:gridCol w:w="1391"/>
        <w:gridCol w:w="325"/>
      </w:tblGrid>
      <w:tr>
        <w:trPr>
          <w:trHeight w:val="313" w:hRule="atLeast"/>
        </w:trPr>
        <w:tc>
          <w:tcPr>
            <w:tcW w:w="2592" w:type="dxa"/>
            <w:tcBorders>
              <w:bottom w:val="single" w:sz="4" w:space="0" w:color="00000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15.02.2023</w:t>
            </w:r>
          </w:p>
        </w:tc>
        <w:tc>
          <w:tcPr>
            <w:tcW w:w="4899" w:type="dxa"/>
            <w:tcBorders/>
          </w:tcPr>
          <w:p>
            <w:pPr>
              <w:pStyle w:val="Style21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  <w:tc>
          <w:tcPr>
            <w:tcW w:w="386" w:type="dxa"/>
            <w:tcBorders/>
          </w:tcPr>
          <w:p>
            <w:pPr>
              <w:pStyle w:val="Standard"/>
              <w:tabs>
                <w:tab w:val="clear" w:pos="708"/>
                <w:tab w:val="right" w:pos="9930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>
            <w:pPr>
              <w:pStyle w:val="Style21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336-р</w:t>
            </w:r>
          </w:p>
        </w:tc>
        <w:tc>
          <w:tcPr>
            <w:tcW w:w="325" w:type="dxa"/>
            <w:tcBorders/>
          </w:tcPr>
          <w:p>
            <w:pPr>
              <w:pStyle w:val="Style21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>
          <w:trHeight w:val="862" w:hRule="atLeast"/>
        </w:trPr>
        <w:tc>
          <w:tcPr>
            <w:tcW w:w="9593" w:type="dxa"/>
            <w:gridSpan w:val="5"/>
            <w:tcBorders/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>
          <w:trHeight w:val="626" w:hRule="atLeast"/>
        </w:trPr>
        <w:tc>
          <w:tcPr>
            <w:tcW w:w="9593" w:type="dxa"/>
            <w:gridSpan w:val="5"/>
            <w:tcBorders/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 отдельной территории </w:t>
            </w:r>
          </w:p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Кожевниковского района Томской области</w:t>
            </w:r>
          </w:p>
        </w:tc>
      </w:tr>
    </w:tbl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andard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eastAsia="ar-SA"/>
        </w:rPr>
        <w:t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  <w:lang w:eastAsia="ar-SA"/>
        </w:rPr>
        <w:t>1</w:t>
      </w:r>
      <w:r>
        <w:rPr>
          <w:rFonts w:ascii="PT Astra Serif" w:hAnsi="PT Astra Serif"/>
          <w:sz w:val="28"/>
          <w:szCs w:val="28"/>
          <w:lang w:eastAsia="ar-SA"/>
        </w:rPr>
        <w:t xml:space="preserve">, 17 Закона Российской Федерации от 14 мая 1993 года № 4979-1 «О ветеринарии», приказом Минсельхоза России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 ноября 2020 года № 705, </w:t>
      </w:r>
      <w:r>
        <w:rPr>
          <w:rFonts w:ascii="PT Astra Serif" w:hAnsi="PT Astra Serif"/>
          <w:sz w:val="28"/>
          <w:szCs w:val="28"/>
          <w:lang w:eastAsia="ar-SA"/>
        </w:rPr>
        <w:t>статьей 4 Закона Томской области от 12 октября 2005 года </w:t>
        <w:br/>
        <w:t>№ 182-ОЗ «Об обеспечении эпизоотического и ветеринарно-санитарного благополучия в Томской области» на основании извещения начальника ОГАУ «Кожевниковское райветуправление» Ю.Б. Журавлева от 15.02.2023 № 98</w:t>
      </w:r>
      <w:bookmarkStart w:id="0" w:name="_GoBack"/>
      <w:bookmarkEnd w:id="0"/>
      <w:r>
        <w:rPr>
          <w:rFonts w:ascii="PT Astra Serif" w:hAnsi="PT Astra Serif"/>
          <w:sz w:val="28"/>
          <w:szCs w:val="28"/>
          <w:lang w:eastAsia="ar-SA"/>
        </w:rPr>
        <w:t>:</w:t>
      </w:r>
    </w:p>
    <w:p>
      <w:pPr>
        <w:pStyle w:val="Style16"/>
        <w:spacing w:before="0" w:after="0"/>
        <w:ind w:firstLine="708"/>
        <w:jc w:val="both"/>
        <w:rPr/>
      </w:pPr>
      <w:r>
        <w:rPr>
          <w:rFonts w:ascii="PT Astra Serif" w:hAnsi="PT Astra Serif"/>
          <w:sz w:val="28"/>
          <w:szCs w:val="28"/>
        </w:rPr>
        <w:t>1. Утвердить прилагаемый Комплексный план мероприятий по ликвидации эпизоотического очага</w:t>
      </w:r>
      <w:r>
        <w:rPr>
          <w:rStyle w:val="2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бешенств</w:t>
      </w:r>
      <w:r>
        <w:rPr>
          <w:rStyle w:val="2"/>
          <w:rFonts w:ascii="PT Astra Serif" w:hAnsi="PT Astra Serif"/>
          <w:sz w:val="28"/>
          <w:szCs w:val="28"/>
        </w:rPr>
        <w:t xml:space="preserve">а и предотвращению </w:t>
      </w:r>
      <w:r>
        <w:rPr>
          <w:rFonts w:eastAsia="Times New Roman" w:cs="Times New Roman" w:ascii="PT Astra Serif" w:hAnsi="PT Astra Serif"/>
          <w:kern w:val="2"/>
          <w:sz w:val="28"/>
          <w:szCs w:val="28"/>
          <w:lang w:eastAsia="ar-SA" w:bidi="ar-SA"/>
        </w:rPr>
        <w:t xml:space="preserve">распространения возбудителя бешенства </w:t>
      </w:r>
      <w:bookmarkStart w:id="1" w:name="selection_index99"/>
      <w:r>
        <w:rPr>
          <w:rFonts w:eastAsia="Times New Roman" w:cs="Times New Roman" w:ascii="PT Astra Serif" w:hAnsi="PT Astra Serif"/>
          <w:kern w:val="2"/>
          <w:sz w:val="28"/>
          <w:szCs w:val="28"/>
          <w:lang w:eastAsia="ar-SA" w:bidi="ar-SA"/>
        </w:rPr>
        <w:t>в</w:t>
      </w:r>
      <w:bookmarkEnd w:id="1"/>
      <w:r>
        <w:rPr>
          <w:rFonts w:eastAsia="Times New Roman" w:cs="Times New Roman" w:ascii="PT Astra Serif" w:hAnsi="PT Astra Serif"/>
          <w:kern w:val="2"/>
          <w:sz w:val="28"/>
          <w:szCs w:val="28"/>
          <w:lang w:eastAsia="ar-SA" w:bidi="ar-SA"/>
        </w:rPr>
        <w:t xml:space="preserve"> личном подсобном хозяйстве </w:t>
      </w:r>
      <w:r>
        <w:rPr>
          <w:rFonts w:eastAsia="Times New Roman" w:cs="Times New Roman" w:ascii="PT Astra Serif" w:hAnsi="PT Astra Serif"/>
          <w:kern w:val="2"/>
          <w:sz w:val="28"/>
          <w:szCs w:val="28"/>
          <w:lang w:eastAsia="ar-SA" w:bidi="ar-SA"/>
        </w:rPr>
        <w:t>&lt;фамилия, имя, отчество&gt;</w:t>
      </w:r>
      <w:r>
        <w:rPr>
          <w:rFonts w:eastAsia="Times New Roman" w:cs="Times New Roman" w:ascii="PT Astra Serif" w:hAnsi="PT Astra Serif"/>
          <w:kern w:val="2"/>
          <w:sz w:val="28"/>
          <w:szCs w:val="28"/>
          <w:lang w:eastAsia="ar-SA" w:bidi="ar-SA"/>
        </w:rPr>
        <w:t xml:space="preserve">, расположенного на земельном участке с координатами </w:t>
      </w:r>
      <w:r>
        <w:rPr>
          <w:rFonts w:eastAsia="Andale Sans UI" w:cs="Tahoma" w:ascii="PT Astra Serif" w:hAnsi="PT Astra Serif"/>
          <w:kern w:val="2"/>
          <w:sz w:val="28"/>
          <w:szCs w:val="28"/>
          <w:lang w:eastAsia="ja-JP" w:bidi="fa-IR"/>
        </w:rPr>
        <w:t>&lt;N, E&gt;</w:t>
      </w:r>
      <w:r>
        <w:rPr>
          <w:rFonts w:ascii="PT Astra Serif" w:hAnsi="PT Astra Serif"/>
          <w:sz w:val="28"/>
          <w:szCs w:val="28"/>
        </w:rPr>
        <w:t xml:space="preserve"> (2 км южнее д. Батурино Кожевниковского района Томской области).</w:t>
      </w:r>
    </w:p>
    <w:p>
      <w:pPr>
        <w:pStyle w:val="Standard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Комитету правового и информационно-аналитического обеспечения обеспечить размещение настоящего распоряжения на официальном сайте Департамента ветеринарии Томской области.</w:t>
      </w:r>
    </w:p>
    <w:p>
      <w:pPr>
        <w:pStyle w:val="Standard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 Контроль за исполнением настоящего распоряжения возложить на заместителя начальника департамента, председателя комитета организации ветеринарной деятельности. </w:t>
      </w:r>
    </w:p>
    <w:p>
      <w:pPr>
        <w:pStyle w:val="Standard"/>
        <w:spacing w:lineRule="auto" w:line="360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andard"/>
        <w:spacing w:lineRule="auto" w:line="360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Standard"/>
        <w:spacing w:lineRule="auto" w:line="36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Начальник  </w:t>
        <w:tab/>
        <w:tab/>
        <w:tab/>
        <w:tab/>
        <w:tab/>
        <w:tab/>
        <w:tab/>
        <w:tab/>
        <w:t>В.В.Табакаев</w:t>
      </w:r>
    </w:p>
    <w:p>
      <w:pPr>
        <w:pStyle w:val="ConsPlusDocList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УТВЕРЖДЕН</w:t>
      </w:r>
    </w:p>
    <w:p>
      <w:pPr>
        <w:pStyle w:val="ConsPlusDocList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 xml:space="preserve">распоряжением Департамента ветеринарии Томской области </w:t>
      </w:r>
    </w:p>
    <w:p>
      <w:pPr>
        <w:pStyle w:val="Normal"/>
        <w:jc w:val="right"/>
        <w:rPr/>
      </w:pP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15.02.2023 </w:t>
      </w:r>
      <w:r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336-р</w:t>
      </w:r>
    </w:p>
    <w:p>
      <w:pPr>
        <w:pStyle w:val="Style16"/>
        <w:spacing w:before="0"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16"/>
        <w:spacing w:before="0" w:after="0"/>
        <w:jc w:val="center"/>
        <w:rPr/>
      </w:pPr>
      <w:r>
        <w:rPr>
          <w:rFonts w:ascii="PT Astra Serif" w:hAnsi="PT Astra Serif"/>
          <w:sz w:val="28"/>
          <w:szCs w:val="28"/>
        </w:rPr>
        <w:t>Комплексный план мероприятий по ликвидации эпизоотического очага</w:t>
      </w:r>
      <w:r>
        <w:rPr>
          <w:rStyle w:val="2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бешенств</w:t>
      </w:r>
      <w:r>
        <w:rPr>
          <w:rStyle w:val="2"/>
          <w:rFonts w:ascii="PT Astra Serif" w:hAnsi="PT Astra Serif"/>
          <w:sz w:val="28"/>
          <w:szCs w:val="28"/>
        </w:rPr>
        <w:t xml:space="preserve">а и предотвращению распространения возбудителя бешенства </w:t>
      </w:r>
      <w:bookmarkStart w:id="2" w:name="selection_index991"/>
      <w:r>
        <w:rPr>
          <w:rFonts w:ascii="PT Astra Serif" w:hAnsi="PT Astra Serif"/>
          <w:sz w:val="28"/>
          <w:szCs w:val="28"/>
        </w:rPr>
        <w:t>в</w:t>
      </w:r>
      <w:bookmarkEnd w:id="2"/>
      <w:r>
        <w:rPr>
          <w:rFonts w:ascii="PT Astra Serif" w:hAnsi="PT Astra Serif"/>
          <w:sz w:val="28"/>
          <w:szCs w:val="28"/>
        </w:rPr>
        <w:t xml:space="preserve"> личном подсобном хозяйстве </w:t>
      </w:r>
      <w:r>
        <w:rPr>
          <w:rFonts w:eastAsia="Andale Sans UI" w:cs="Tahoma" w:ascii="PT Astra Serif" w:hAnsi="PT Astra Serif"/>
          <w:kern w:val="2"/>
          <w:sz w:val="28"/>
          <w:szCs w:val="28"/>
          <w:lang w:eastAsia="ja-JP" w:bidi="fa-IR"/>
        </w:rPr>
        <w:t>&lt;фамилия, имя, отчество&gt;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cs="PT Astra Serif" w:ascii="PT Astra Serif" w:hAnsi="PT Astra Serif"/>
          <w:sz w:val="28"/>
          <w:szCs w:val="28"/>
        </w:rPr>
        <w:t xml:space="preserve">расположенного </w:t>
      </w:r>
      <w:r>
        <w:rPr>
          <w:rFonts w:ascii="PT Astra Serif" w:hAnsi="PT Astra Serif"/>
          <w:sz w:val="28"/>
          <w:szCs w:val="28"/>
        </w:rPr>
        <w:t xml:space="preserve">на земельном участке с координатами </w:t>
      </w:r>
      <w:r>
        <w:rPr>
          <w:rFonts w:eastAsia="Andale Sans UI" w:cs="Tahoma" w:ascii="PT Astra Serif" w:hAnsi="PT Astra Serif"/>
          <w:kern w:val="2"/>
          <w:sz w:val="28"/>
          <w:szCs w:val="28"/>
          <w:lang w:eastAsia="ja-JP" w:bidi="fa-IR"/>
        </w:rPr>
        <w:t>&lt;N, E&gt;</w:t>
      </w:r>
      <w:r>
        <w:rPr>
          <w:rFonts w:ascii="PT Astra Serif" w:hAnsi="PT Astra Serif"/>
          <w:sz w:val="28"/>
          <w:szCs w:val="28"/>
        </w:rPr>
        <w:t xml:space="preserve"> (2 км южнее д. Батурино Кожевниковского района)</w:t>
      </w:r>
    </w:p>
    <w:p>
      <w:pPr>
        <w:pStyle w:val="Style16"/>
        <w:spacing w:before="0"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W w:w="14672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0"/>
        <w:gridCol w:w="7412"/>
        <w:gridCol w:w="3053"/>
        <w:gridCol w:w="3747"/>
        <w:gridCol w:w="10"/>
      </w:tblGrid>
      <w:tr>
        <w:trPr/>
        <w:tc>
          <w:tcPr>
            <w:tcW w:w="4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3" w:name="selection_index100"/>
            <w:r>
              <w:rPr>
                <w:rFonts w:ascii="PT Astra Serif" w:hAnsi="PT Astra Serif"/>
                <w:sz w:val="28"/>
                <w:szCs w:val="28"/>
              </w:rPr>
              <w:t>№</w:t>
            </w:r>
            <w:r>
              <w:rPr>
                <w:rFonts w:eastAsia="Times New Roman" w:cs="Times New Roman"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п/п</w:t>
            </w:r>
            <w:bookmarkEnd w:id="3"/>
          </w:p>
        </w:tc>
        <w:tc>
          <w:tcPr>
            <w:tcW w:w="741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4" w:name="selection_index101"/>
            <w:r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  <w:bookmarkEnd w:id="4"/>
          </w:p>
        </w:tc>
        <w:tc>
          <w:tcPr>
            <w:tcW w:w="305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5" w:name="selection_index102"/>
            <w:r>
              <w:rPr>
                <w:rFonts w:ascii="PT Astra Serif" w:hAnsi="PT Astra Serif"/>
                <w:sz w:val="28"/>
                <w:szCs w:val="28"/>
              </w:rPr>
              <w:t>Сроки исполнения</w:t>
            </w:r>
            <w:bookmarkEnd w:id="5"/>
          </w:p>
        </w:tc>
        <w:tc>
          <w:tcPr>
            <w:tcW w:w="3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>
            <w:pPr>
              <w:pStyle w:val="Style21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сполнител</w:t>
            </w:r>
            <w:r>
              <w:rPr>
                <w:rStyle w:val="2"/>
                <w:rFonts w:ascii="PT Astra Serif" w:hAnsi="PT Astra Serif"/>
                <w:sz w:val="28"/>
                <w:szCs w:val="28"/>
              </w:rPr>
              <w:t>и</w:t>
            </w:r>
          </w:p>
        </w:tc>
      </w:tr>
      <w:tr>
        <w:trPr/>
        <w:tc>
          <w:tcPr>
            <w:tcW w:w="14672" w:type="dxa"/>
            <w:gridSpan w:val="4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эпизоотическом очаге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6" w:name="selection_index104"/>
            <w:r>
              <w:rPr>
                <w:rFonts w:ascii="PT Astra Serif" w:hAnsi="PT Astra Serif"/>
                <w:sz w:val="28"/>
                <w:szCs w:val="28"/>
              </w:rPr>
              <w:t>1</w:t>
            </w:r>
            <w:bookmarkEnd w:id="6"/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Обеспечить наблюдение за восприимчивыми животными, контактировавшими с больным восприимчивым животным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Не менее 10 календарных дней с момента контакта с больным животным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вакцинацию против бешенства всех восприимчивых животных, не вакцинированных против бешенства или с момента вакцинации которых прошло 180 календарных дней и более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Немедленно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eastAsia="Andale Sans UI" w:cs="Tahoma" w:ascii="PT Astra Serif" w:hAnsi="PT Astra Serif"/>
                <w:kern w:val="2"/>
                <w:sz w:val="28"/>
                <w:szCs w:val="28"/>
                <w:lang w:eastAsia="ja-JP" w:bidi="fa-IR"/>
              </w:rPr>
              <w:t>&lt;фамилия, имя, отчество&gt;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– далее Владелец неблагополучного ЛПХ;</w:t>
            </w:r>
          </w:p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изолированное содержание вакцинированных восприимчивых животных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течение 60 календарных дней после вакцинации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изъятие и бескровный убой восприимчивых животных, проявивших в период наблюдения клинические признаки, характерные для бешенства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Немедленно в случае появления клинических признаков, характерных для бешенства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дезинфекционную обработку одежды и обуви дезинфицирующими средствами с высокой вирулицидной активностью в отношении возбудителя согласно инструкциям по их применению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 выходе с территории эпизоотического очага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ЛПХ;</w:t>
            </w:r>
          </w:p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Обеспечить проведение дератизации 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Обеспечить отсутствие на территории эпизоотического очага животных без владельцев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Исключить участие в мероприятиях по ликвидации эпизоотического очага лиц, имеющих повреждения кожи на руках, лице и других открытых участках тела 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16"/>
              <w:spacing w:before="0"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ЛПХ;</w:t>
            </w:r>
          </w:p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45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7412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Normal"/>
              <w:spacing w:before="0" w:after="200"/>
              <w:jc w:val="both"/>
              <w:rPr/>
            </w:pPr>
            <w:r>
              <w:rPr>
                <w:rStyle w:val="1"/>
                <w:rFonts w:ascii="PT Astra Serif" w:hAnsi="PT Astra Serif"/>
                <w:sz w:val="28"/>
                <w:szCs w:val="28"/>
              </w:rPr>
              <w:t xml:space="preserve">Подвергнуть дезинфекции места обнаружения трупов больных восприимчивых животных, помещения по содержанию восприимчивых животных и другие объекты, с которыми контактировали больные восприимчивые животные в соответствии с действующими </w:t>
            </w:r>
            <w:r>
              <w:rPr>
                <w:rFonts w:ascii="PT Astra Serif" w:hAnsi="PT Astra Serif"/>
                <w:sz w:val="28"/>
                <w:szCs w:val="28"/>
              </w:rPr>
              <w:t>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25.11.2020 года      № 705</w:t>
            </w:r>
          </w:p>
        </w:tc>
        <w:tc>
          <w:tcPr>
            <w:tcW w:w="3053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Проводится в три этапа:</w:t>
            </w:r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1) сразу после изоляции больных животных;</w:t>
            </w:r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2) после проведения механической очистки;</w:t>
            </w:r>
          </w:p>
          <w:p>
            <w:pPr>
              <w:pStyle w:val="Normal"/>
              <w:spacing w:before="0" w:after="20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3) перед отменой карантина</w:t>
            </w:r>
          </w:p>
        </w:tc>
        <w:tc>
          <w:tcPr>
            <w:tcW w:w="375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Владелец неблагополучного ЛПХ</w:t>
            </w:r>
          </w:p>
        </w:tc>
      </w:tr>
      <w:tr>
        <w:trPr/>
        <w:tc>
          <w:tcPr>
            <w:tcW w:w="14672" w:type="dxa"/>
            <w:gridSpan w:val="4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неблагополучном пункте</w:t>
            </w:r>
          </w:p>
        </w:tc>
      </w:tr>
      <w:tr>
        <w:trPr/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7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Обеспечить отсутствие восприимчивых животных, отнесенных к охотничьим ресурсам, путем регулирования их численности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pacing w:before="0" w:after="0"/>
              <w:jc w:val="center"/>
              <w:rPr/>
            </w:pPr>
            <w:r>
              <w:rPr>
                <w:rFonts w:ascii="PT Astra Serif" w:hAnsi="PT Astra Serif"/>
                <w:sz w:val="28"/>
                <w:szCs w:val="28"/>
              </w:rPr>
              <w:t>В период действия ограничительных мероприятий (карантина)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jc w:val="center"/>
              <w:rPr/>
            </w:pPr>
            <w:r>
              <w:rPr>
                <w:rStyle w:val="2"/>
                <w:rFonts w:ascii="PT Astra Serif" w:hAnsi="PT Astra Serif"/>
                <w:sz w:val="28"/>
                <w:szCs w:val="28"/>
              </w:rPr>
              <w:t>Департамент охотничьего и рыбного хозяйства Томской области (по согласованию)</w:t>
            </w:r>
          </w:p>
        </w:tc>
      </w:tr>
    </w:tbl>
    <w:p>
      <w:pPr>
        <w:pStyle w:val="Normal"/>
        <w:spacing w:lineRule="auto" w:line="360" w:before="0" w:after="200"/>
        <w:rPr>
          <w:rStyle w:val="2"/>
          <w:rFonts w:ascii="PT Astra Serif" w:hAnsi="PT Astra Serif"/>
          <w:sz w:val="28"/>
          <w:szCs w:val="28"/>
        </w:rPr>
      </w:pPr>
      <w:r>
        <w:rPr>
          <w:rFonts w:ascii="PT Astra Serif" w:hAnsi="PT Astra Serif"/>
        </w:rPr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cc"/>
    <w:family w:val="swiss"/>
    <w:pitch w:val="variable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sid w:val="001f17a4"/>
    <w:rPr/>
  </w:style>
  <w:style w:type="character" w:styleId="Style14" w:customStyle="1">
    <w:name w:val="Основной текст Знак"/>
    <w:basedOn w:val="DefaultParagraphFont"/>
    <w:link w:val="a6"/>
    <w:qFormat/>
    <w:rsid w:val="001f17a4"/>
    <w:rPr>
      <w:rFonts w:ascii="Times New Roman" w:hAnsi="Times New Roman" w:eastAsia="Andale Sans UI" w:cs="Tahoma"/>
      <w:kern w:val="2"/>
      <w:sz w:val="24"/>
      <w:szCs w:val="24"/>
      <w:lang w:eastAsia="ja-JP" w:bidi="fa-IR"/>
    </w:rPr>
  </w:style>
  <w:style w:type="character" w:styleId="1">
    <w:name w:val="Основной шрифт абзаца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link w:val="a7"/>
    <w:rsid w:val="001f17a4"/>
    <w:pPr>
      <w:pBdr/>
      <w:suppressAutoHyphens w:val="true"/>
      <w:spacing w:lineRule="auto" w:line="240" w:before="0" w:after="120"/>
      <w:textAlignment w:val="baseline"/>
    </w:pPr>
    <w:rPr>
      <w:rFonts w:ascii="Times New Roman" w:hAnsi="Times New Roman" w:eastAsia="Andale Sans UI" w:cs="Tahoma"/>
      <w:kern w:val="2"/>
      <w:sz w:val="24"/>
      <w:szCs w:val="24"/>
      <w:lang w:eastAsia="ja-JP" w:bidi="fa-IR"/>
    </w:rPr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andard" w:customStyle="1">
    <w:name w:val="Standard"/>
    <w:qFormat/>
    <w:rsid w:val="000f039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eastAsia="zh-CN" w:val="ru-RU" w:bidi="ar-SA"/>
    </w:rPr>
  </w:style>
  <w:style w:type="paragraph" w:styleId="Style20" w:customStyle="1">
    <w:name w:val="ПодписьСогл_дол+ФИО"/>
    <w:basedOn w:val="Normal"/>
    <w:qFormat/>
    <w:rsid w:val="000f0393"/>
    <w:pPr>
      <w:tabs>
        <w:tab w:val="clear" w:pos="708"/>
        <w:tab w:val="right" w:pos="10035" w:leader="none"/>
      </w:tabs>
      <w:suppressAutoHyphens w:val="true"/>
      <w:spacing w:lineRule="auto" w:line="240" w:before="0" w:after="120"/>
    </w:pPr>
    <w:rPr>
      <w:rFonts w:ascii="Times New Roman" w:hAnsi="Times New Roman" w:eastAsia="Times New Roman" w:cs="Times New Roman"/>
      <w:kern w:val="2"/>
      <w:sz w:val="24"/>
      <w:szCs w:val="24"/>
      <w:lang w:eastAsia="zh-CN"/>
    </w:rPr>
  </w:style>
  <w:style w:type="paragraph" w:styleId="Style21" w:customStyle="1">
    <w:name w:val="Содержимое таблицы"/>
    <w:basedOn w:val="Standard"/>
    <w:qFormat/>
    <w:rsid w:val="000f0393"/>
    <w:pPr>
      <w:widowControl w:val="false"/>
      <w:suppressLineNumbers/>
      <w:jc w:val="both"/>
      <w:textAlignment w:val="baseline"/>
    </w:pPr>
    <w:rPr>
      <w:rFonts w:eastAsia="Lucida Sans Unicode" w:cs="Mangal"/>
      <w:kern w:val="2"/>
      <w:sz w:val="28"/>
      <w:szCs w:val="24"/>
      <w:lang w:bidi="hi-IN"/>
    </w:rPr>
  </w:style>
  <w:style w:type="paragraph" w:styleId="Style22" w:customStyle="1">
    <w:name w:val="Текст шапки"/>
    <w:basedOn w:val="Normal"/>
    <w:qFormat/>
    <w:rsid w:val="000f0393"/>
    <w:pPr>
      <w:widowControl w:val="false"/>
      <w:suppressAutoHyphens w:val="true"/>
      <w:spacing w:lineRule="auto" w:line="240" w:before="0" w:after="0"/>
      <w:jc w:val="center"/>
      <w:textAlignment w:val="baseline"/>
    </w:pPr>
    <w:rPr>
      <w:rFonts w:ascii="Times New Roman" w:hAnsi="Times New Roman" w:eastAsia="Lucida Sans Unicode" w:cs="Mangal"/>
      <w:b/>
      <w:bCs/>
      <w:kern w:val="2"/>
      <w:sz w:val="30"/>
      <w:szCs w:val="30"/>
      <w:lang w:eastAsia="zh-CN" w:bidi="hi-IN"/>
    </w:rPr>
  </w:style>
  <w:style w:type="paragraph" w:styleId="ConsPlusDocList">
    <w:name w:val="ConsPlusDocList"/>
    <w:next w:val="Normal"/>
    <w:qFormat/>
    <w:pPr>
      <w:widowControl w:val="false"/>
      <w:pBdr/>
      <w:suppressAutoHyphens w:val="true"/>
      <w:bidi w:val="0"/>
      <w:spacing w:lineRule="auto" w:line="276" w:before="0" w:after="200"/>
      <w:jc w:val="left"/>
      <w:textAlignment w:val="baseline"/>
    </w:pPr>
    <w:rPr>
      <w:rFonts w:ascii="Arial" w:hAnsi="Arial" w:eastAsia="Arial" w:cs="Arial"/>
      <w:color w:val="auto"/>
      <w:kern w:val="2"/>
      <w:sz w:val="20"/>
      <w:szCs w:val="20"/>
      <w:lang w:val="ru-RU" w:eastAsia="ja-JP" w:bidi="fa-I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Application>LibreOffice/6.4.7.2$Linux_X86_64 LibreOffice_project/40$Build-2</Application>
  <Pages>4</Pages>
  <Words>590</Words>
  <Characters>4488</Characters>
  <CharactersWithSpaces>5035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2022-03-03T10:34:00Z</dcterms:created>
  <dc:creator>Ольга Николаевна Семенова</dc:creator>
  <dc:description/>
  <dc:language>ru-RU</dc:language>
  <cp:lastModifiedBy/>
  <cp:lastPrinted>2023-01-09T10:10:00Z</cp:lastPrinted>
  <dcterms:modified xsi:type="dcterms:W3CDTF">2023-02-17T15:43:14Z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