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1"/>
        <w:rPr>
          <w:rFonts w:ascii="PT Astra Serif" w:hAnsi="PT Astra Serif"/>
        </w:rPr>
      </w:pPr>
      <w:r>
        <w:rPr>
          <w:rFonts w:ascii="PT Astra Serif" w:hAnsi="PT Astra Serif"/>
        </w:rPr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Standard"/>
        <w:tabs>
          <w:tab w:val="clear" w:pos="708"/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Standard"/>
        <w:tabs>
          <w:tab w:val="clear" w:pos="708"/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</w:p>
    <w:tbl>
      <w:tblPr>
        <w:tblW w:w="9593" w:type="dxa"/>
        <w:jc w:val="left"/>
        <w:tblInd w:w="100" w:type="dxa"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592"/>
        <w:gridCol w:w="4899"/>
        <w:gridCol w:w="383"/>
        <w:gridCol w:w="1391"/>
        <w:gridCol w:w="328"/>
      </w:tblGrid>
      <w:tr>
        <w:trPr>
          <w:trHeight w:val="313" w:hRule="atLeast"/>
        </w:trPr>
        <w:tc>
          <w:tcPr>
            <w:tcW w:w="2592" w:type="dxa"/>
            <w:tcBorders>
              <w:bottom w:val="single" w:sz="4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09.01.2023</w:t>
            </w:r>
          </w:p>
        </w:tc>
        <w:tc>
          <w:tcPr>
            <w:tcW w:w="4899" w:type="dxa"/>
            <w:tcBorders/>
          </w:tcPr>
          <w:p>
            <w:pPr>
              <w:pStyle w:val="Style2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  <w:tc>
          <w:tcPr>
            <w:tcW w:w="383" w:type="dxa"/>
            <w:tcBorders/>
          </w:tcPr>
          <w:p>
            <w:pPr>
              <w:pStyle w:val="Standard"/>
              <w:tabs>
                <w:tab w:val="clear" w:pos="708"/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</w:tc>
        <w:tc>
          <w:tcPr>
            <w:tcW w:w="1391" w:type="dxa"/>
            <w:tcBorders>
              <w:bottom w:val="single" w:sz="4" w:space="0" w:color="000000"/>
            </w:tcBorders>
          </w:tcPr>
          <w:p>
            <w:pPr>
              <w:pStyle w:val="Style20"/>
              <w:rPr>
                <w:rFonts w:ascii="PT Astra Serif" w:hAnsi="PT Astra Serif"/>
              </w:rPr>
            </w:pPr>
            <w:r>
              <w:rPr>
                <w:rFonts w:eastAsia="Lucida Sans Unicode" w:cs="Mangal" w:ascii="PT Astra Serif" w:hAnsi="PT Astra Serif"/>
                <w:kern w:val="2"/>
                <w:sz w:val="28"/>
                <w:szCs w:val="24"/>
                <w:lang w:eastAsia="zh-CN" w:bidi="hi-IN"/>
              </w:rPr>
              <w:t>30</w:t>
            </w:r>
            <w:r>
              <w:rPr>
                <w:rFonts w:eastAsia="Lucida Sans Unicode" w:cs="Mangal" w:ascii="PT Astra Serif" w:hAnsi="PT Astra Serif"/>
                <w:kern w:val="2"/>
                <w:sz w:val="28"/>
                <w:szCs w:val="24"/>
                <w:lang w:eastAsia="zh-CN" w:bidi="hi-IN"/>
              </w:rPr>
              <w:t>3</w:t>
            </w:r>
            <w:r>
              <w:rPr>
                <w:rFonts w:ascii="PT Astra Serif" w:hAnsi="PT Astra Serif"/>
              </w:rPr>
              <w:t>-р</w:t>
            </w:r>
          </w:p>
        </w:tc>
        <w:tc>
          <w:tcPr>
            <w:tcW w:w="328" w:type="dxa"/>
            <w:tcBorders/>
          </w:tcPr>
          <w:p>
            <w:pPr>
              <w:pStyle w:val="Style2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</w:tr>
      <w:tr>
        <w:trPr>
          <w:trHeight w:val="862" w:hRule="atLeast"/>
        </w:trPr>
        <w:tc>
          <w:tcPr>
            <w:tcW w:w="9593" w:type="dxa"/>
            <w:gridSpan w:val="5"/>
            <w:tcBorders/>
          </w:tcPr>
          <w:p>
            <w:pPr>
              <w:pStyle w:val="Style2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</w:tr>
      <w:tr>
        <w:trPr>
          <w:trHeight w:val="626" w:hRule="atLeast"/>
        </w:trPr>
        <w:tc>
          <w:tcPr>
            <w:tcW w:w="9593" w:type="dxa"/>
            <w:gridSpan w:val="5"/>
            <w:tcBorders/>
          </w:tcPr>
          <w:p>
            <w:pPr>
              <w:pStyle w:val="Style2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</w:rPr>
              <w:t xml:space="preserve">Об утверждении комплексного плана мероприятий по ликвидации эпизоотического очага бешенства на  отдельной территории </w:t>
            </w:r>
          </w:p>
          <w:p>
            <w:pPr>
              <w:pStyle w:val="Style2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8"/>
              </w:rPr>
              <w:t>Кожевниковского района Томской области</w:t>
            </w:r>
          </w:p>
        </w:tc>
      </w:tr>
    </w:tbl>
    <w:p>
      <w:pPr>
        <w:pStyle w:val="Normal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Standard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  <w:lang w:eastAsia="ar-SA"/>
        </w:rPr>
        <w:t>В соответствии со статьями 3</w:t>
      </w:r>
      <w:r>
        <w:rPr>
          <w:rFonts w:ascii="PT Astra Serif" w:hAnsi="PT Astra Serif"/>
          <w:sz w:val="28"/>
          <w:szCs w:val="28"/>
          <w:vertAlign w:val="superscript"/>
          <w:lang w:eastAsia="ar-SA"/>
        </w:rPr>
        <w:t>1</w:t>
      </w:r>
      <w:r>
        <w:rPr>
          <w:rFonts w:ascii="PT Astra Serif" w:hAnsi="PT Astra Serif"/>
          <w:sz w:val="28"/>
          <w:szCs w:val="28"/>
          <w:lang w:eastAsia="ar-SA"/>
        </w:rPr>
        <w:t xml:space="preserve">, 17 Закона Российской Федерации от 14 мая 1993 года № 4979-1 «О ветеринарии», приказом Минсельхоза России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/>
          <w:sz w:val="28"/>
          <w:szCs w:val="28"/>
        </w:rPr>
        <w:t xml:space="preserve">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 ноября 2020 года № 705, </w:t>
      </w:r>
      <w:r>
        <w:rPr>
          <w:rFonts w:ascii="PT Astra Serif" w:hAnsi="PT Astra Serif"/>
          <w:sz w:val="28"/>
          <w:szCs w:val="28"/>
          <w:lang w:eastAsia="ar-SA"/>
        </w:rPr>
        <w:t>статьей 4 Закона Томской области от 12 октября 2005 года </w:t>
        <w:br/>
      </w:r>
      <w:bookmarkStart w:id="0" w:name="_GoBack"/>
      <w:bookmarkEnd w:id="0"/>
      <w:r>
        <w:rPr>
          <w:rFonts w:ascii="PT Astra Serif" w:hAnsi="PT Astra Serif"/>
          <w:sz w:val="28"/>
          <w:szCs w:val="28"/>
          <w:lang w:eastAsia="ar-SA"/>
        </w:rPr>
        <w:t>№ 182-ОЗ «Об обеспечении эпизоотического и ветеринарно-санитарного благополучия в Томской области» на основании извещения начальника ОГАУ «Кожевниковское райветуправление» Ю.Б. Журавлева от 09.01.2023 № 4:</w:t>
      </w:r>
    </w:p>
    <w:p>
      <w:pPr>
        <w:pStyle w:val="Standard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1. Утвердить прилагаемый Комплексный план мероприятий по ликвидации эпизоотического очага бешенства и предотвращения распространения возбудителя бешенства в д. Кожевниково-на-Шегарке  Кожевниковского района Томской области.</w:t>
      </w:r>
    </w:p>
    <w:p>
      <w:pPr>
        <w:pStyle w:val="Standard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2. Комитету правового и информационно-анали</w:t>
      </w:r>
      <w:r>
        <w:rPr>
          <w:rFonts w:ascii="PT Astra Serif" w:hAnsi="PT Astra Serif"/>
          <w:sz w:val="28"/>
        </w:rPr>
        <w:t>тического обеспечения обеспечить размещение настоящего распоряжения на официальном сайте Департамента ветеринарии Томской области.</w:t>
      </w:r>
    </w:p>
    <w:p>
      <w:pPr>
        <w:pStyle w:val="Standard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3. Контроль за исполнением настоящего распоряжения возложить на заместителя начальника департамента, председателя комитета организации ветеринарной деятельности. </w:t>
      </w:r>
    </w:p>
    <w:p>
      <w:pPr>
        <w:pStyle w:val="Standard"/>
        <w:spacing w:lineRule="auto" w:line="360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Standard"/>
        <w:spacing w:lineRule="auto" w:line="360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Standard"/>
        <w:spacing w:lineRule="auto" w:line="360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Начальник  </w:t>
        <w:tab/>
        <w:tab/>
        <w:tab/>
        <w:tab/>
        <w:tab/>
        <w:tab/>
        <w:tab/>
        <w:tab/>
        <w:t>В.В.Табакаев</w:t>
      </w:r>
    </w:p>
    <w:p>
      <w:pPr>
        <w:pStyle w:val="ConsPlusDocList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cs="Times New Roman" w:ascii="PT Astra Serif" w:hAnsi="PT Astra Serif"/>
          <w:sz w:val="26"/>
          <w:szCs w:val="26"/>
        </w:rPr>
        <w:t>УТВЕРЖДЕН</w:t>
      </w:r>
    </w:p>
    <w:p>
      <w:pPr>
        <w:pStyle w:val="ConsPlusDocList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cs="Times New Roman" w:ascii="PT Astra Serif" w:hAnsi="PT Astra Serif"/>
          <w:sz w:val="26"/>
          <w:szCs w:val="26"/>
        </w:rPr>
        <w:t xml:space="preserve">распоряжением Департамента ветеринарии Томской области </w:t>
      </w:r>
    </w:p>
    <w:p>
      <w:pPr>
        <w:pStyle w:val="Normal"/>
        <w:jc w:val="right"/>
        <w:rPr/>
      </w:pPr>
      <w:r>
        <w:rPr>
          <w:rFonts w:ascii="PT Astra Serif" w:hAnsi="PT Astra Serif"/>
          <w:sz w:val="26"/>
          <w:szCs w:val="26"/>
        </w:rPr>
        <w:t>от  09.01.2023  № 303-р</w:t>
      </w:r>
    </w:p>
    <w:p>
      <w:pPr>
        <w:pStyle w:val="Style15"/>
        <w:spacing w:before="0"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Style15"/>
        <w:spacing w:before="0" w:after="0"/>
        <w:jc w:val="center"/>
        <w:rPr/>
      </w:pPr>
      <w:r>
        <w:rPr>
          <w:rFonts w:ascii="PT Astra Serif" w:hAnsi="PT Astra Serif"/>
          <w:sz w:val="26"/>
          <w:szCs w:val="26"/>
        </w:rPr>
        <w:t>Комплексный план мероприятий по ликвидации эпизоотического очага</w:t>
      </w:r>
      <w:r>
        <w:rPr>
          <w:rStyle w:val="2"/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бешенств</w:t>
      </w:r>
      <w:r>
        <w:rPr>
          <w:rStyle w:val="2"/>
          <w:rFonts w:ascii="PT Astra Serif" w:hAnsi="PT Astra Serif"/>
          <w:sz w:val="26"/>
          <w:szCs w:val="26"/>
        </w:rPr>
        <w:t xml:space="preserve">а и предотвращению распространения возбудителя бешенства </w:t>
      </w:r>
      <w:bookmarkStart w:id="1" w:name="selection_index99"/>
      <w:r>
        <w:rPr>
          <w:rFonts w:ascii="PT Astra Serif" w:hAnsi="PT Astra Serif"/>
          <w:sz w:val="26"/>
          <w:szCs w:val="26"/>
        </w:rPr>
        <w:t>в</w:t>
      </w:r>
      <w:bookmarkEnd w:id="1"/>
      <w:r>
        <w:rPr>
          <w:rFonts w:ascii="PT Astra Serif" w:hAnsi="PT Astra Serif"/>
          <w:sz w:val="26"/>
          <w:szCs w:val="26"/>
        </w:rPr>
        <w:t xml:space="preserve"> д. Кожевниково-на-Шегарке </w:t>
      </w:r>
      <w:r>
        <w:rPr>
          <w:rStyle w:val="2"/>
          <w:rFonts w:ascii="PT Astra Serif" w:hAnsi="PT Astra Serif"/>
          <w:sz w:val="26"/>
          <w:szCs w:val="26"/>
        </w:rPr>
        <w:t>Кожевниковского района Томской области</w:t>
      </w:r>
    </w:p>
    <w:p>
      <w:pPr>
        <w:pStyle w:val="Style15"/>
        <w:spacing w:before="0"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tbl>
      <w:tblPr>
        <w:tblW w:w="14580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79"/>
        <w:gridCol w:w="7127"/>
        <w:gridCol w:w="3032"/>
        <w:gridCol w:w="3741"/>
      </w:tblGrid>
      <w:tr>
        <w:trPr/>
        <w:tc>
          <w:tcPr>
            <w:tcW w:w="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2" w:name="selection_index100"/>
            <w:r>
              <w:rPr>
                <w:rFonts w:ascii="PT Astra Serif" w:hAnsi="PT Astra Serif"/>
                <w:sz w:val="26"/>
                <w:szCs w:val="26"/>
              </w:rPr>
              <w:t>№</w:t>
            </w:r>
            <w:r>
              <w:rPr>
                <w:rFonts w:eastAsia="Times New Roman" w:cs="Times New Roman"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п/п</w:t>
            </w:r>
            <w:bookmarkEnd w:id="2"/>
          </w:p>
        </w:tc>
        <w:tc>
          <w:tcPr>
            <w:tcW w:w="7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3" w:name="selection_index101"/>
            <w:r>
              <w:rPr>
                <w:rFonts w:ascii="PT Astra Serif" w:hAnsi="PT Astra Serif"/>
                <w:sz w:val="26"/>
                <w:szCs w:val="26"/>
              </w:rPr>
              <w:t>Наименование мероприятий</w:t>
            </w:r>
            <w:bookmarkEnd w:id="3"/>
          </w:p>
        </w:tc>
        <w:tc>
          <w:tcPr>
            <w:tcW w:w="3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4" w:name="selection_index102"/>
            <w:r>
              <w:rPr>
                <w:rFonts w:ascii="PT Astra Serif" w:hAnsi="PT Astra Serif"/>
                <w:sz w:val="26"/>
                <w:szCs w:val="26"/>
              </w:rPr>
              <w:t>Сроки исполнения</w:t>
            </w:r>
            <w:bookmarkEnd w:id="4"/>
          </w:p>
        </w:tc>
        <w:tc>
          <w:tcPr>
            <w:tcW w:w="3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0"/>
              <w:jc w:val="center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И</w:t>
            </w:r>
            <w:r>
              <w:rPr>
                <w:rFonts w:ascii="PT Astra Serif" w:hAnsi="PT Astra Serif"/>
                <w:sz w:val="26"/>
                <w:szCs w:val="26"/>
              </w:rPr>
              <w:t>сполнител</w:t>
            </w:r>
            <w:r>
              <w:rPr>
                <w:rStyle w:val="2"/>
                <w:rFonts w:ascii="PT Astra Serif" w:hAnsi="PT Astra Serif"/>
                <w:sz w:val="26"/>
                <w:szCs w:val="26"/>
              </w:rPr>
              <w:t>и</w:t>
            </w:r>
          </w:p>
        </w:tc>
      </w:tr>
      <w:tr>
        <w:trPr/>
        <w:tc>
          <w:tcPr>
            <w:tcW w:w="14579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эпизоотическом очаге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5" w:name="selection_index104"/>
            <w:r>
              <w:rPr>
                <w:rFonts w:ascii="PT Astra Serif" w:hAnsi="PT Astra Serif"/>
                <w:sz w:val="26"/>
                <w:szCs w:val="26"/>
              </w:rPr>
              <w:t>1</w:t>
            </w:r>
            <w:bookmarkEnd w:id="5"/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Обеспечить наблюдение за восприимчивыми животными, контактировавшими с больным восприимчивым животным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Не менее 10 календарных дней с момента контакта с больным животным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Обеспечить вакцинацию против бешенства всех восприимчивых животных, не вакцинированных против бешенства или с момента вакцинации которых прошло 180 календарных дней и более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Немедленно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/>
            </w:pPr>
            <w:r>
              <w:rPr>
                <w:rFonts w:eastAsia="Lucida Sans Unicode" w:cs="Mangal" w:ascii="PT Astra Serif" w:hAnsi="PT Astra Serif"/>
                <w:kern w:val="2"/>
                <w:sz w:val="26"/>
                <w:szCs w:val="26"/>
                <w:lang w:eastAsia="zh-CN" w:bidi="hi-IN"/>
              </w:rPr>
              <w:t>&lt;Фамилия, имя, отчество&gt;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– далее Владелец неблагополучного ЛПХ;</w:t>
            </w:r>
          </w:p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Обеспечить изолированное содержание вакцинированных восприимчивых животных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течение 60 календарных дней после вакцинации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Владелец неблагополучного ЛПХ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Обеспечить изъятие и бескровный убой восприимчивых животных, проявивших в период наблюдения клинические признаки, характерные для бешенства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Немедленно в случае появления клинических признаков, характерных для бешенства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Обеспечить дезинфекционную обработку одежды и обуви дезинфицирующими средствами с высокой вирулицидной активностью в отношении возбудителя согласно инструкциям по их применению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 выходе с территории эпизоотического очага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Владелец неблагополучного ЛПХ;</w:t>
            </w:r>
          </w:p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проведение дератизации 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период действия ограничительных мероприятий (карантина)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Владелец неблагополучного ЛПХ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Обеспечить отсутствие на территории эпизоотического очага животных без владельцев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период действия ограничительных мероприятий (карантина)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Владелец неблагополучного ЛПХ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Исключить участие в мероприятиях по ликвидации эпизоотического очага лиц, имеющих повреждения кожи на руках, лице и других открытых участках тела 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период действия ограничительных мероприятий (карантина)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Владелец неблагополучного ЛПХ;</w:t>
            </w:r>
          </w:p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pacing w:before="0" w:after="200"/>
              <w:jc w:val="both"/>
              <w:rPr/>
            </w:pPr>
            <w:r>
              <w:rPr>
                <w:rStyle w:val="1"/>
                <w:rFonts w:ascii="PT Astra Serif" w:hAnsi="PT Astra Serif"/>
                <w:sz w:val="26"/>
                <w:szCs w:val="26"/>
              </w:rPr>
              <w:t xml:space="preserve">Подвергнуть дезинфекции места обнаружения трупов больных восприимчивых животных, помещения по содержанию восприимчивых животных и другие объекты, с которыми контактировали больные восприимчивые животные в соответствии с действующими </w:t>
            </w:r>
            <w:r>
              <w:rPr>
                <w:rFonts w:ascii="PT Astra Serif" w:hAnsi="PT Astra Serif"/>
                <w:sz w:val="26"/>
                <w:szCs w:val="26"/>
              </w:rPr>
              <w:t>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25.11.2020 года      № 705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Проводится в три этапа:</w:t>
            </w:r>
          </w:p>
          <w:p>
            <w:pPr>
              <w:pStyle w:val="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1) сразу после изоляции больных животных;</w:t>
            </w:r>
          </w:p>
          <w:p>
            <w:pPr>
              <w:pStyle w:val="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2) после проведения механической очистки;</w:t>
            </w:r>
          </w:p>
          <w:p>
            <w:pPr>
              <w:pStyle w:val="Normal"/>
              <w:spacing w:before="0" w:after="20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3) перед отменой карантина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Владелец неблагополучного ЛПХ</w:t>
            </w:r>
          </w:p>
        </w:tc>
      </w:tr>
      <w:tr>
        <w:trPr/>
        <w:tc>
          <w:tcPr>
            <w:tcW w:w="14579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неблагополучном пункте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both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Обеспечить обход личных подсобных хозяйств в которых содержатся восприимчивые животные с целью выявления подозреваемых в заболевании бешенством животных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6" w:name="selection_index111"/>
            <w:r>
              <w:rPr>
                <w:rFonts w:ascii="PT Astra Serif" w:hAnsi="PT Astra Serif"/>
                <w:sz w:val="26"/>
                <w:szCs w:val="26"/>
              </w:rPr>
              <w:t>Немедленно, после получения информации о выявлении случая бешенства у животных</w:t>
            </w:r>
            <w:bookmarkEnd w:id="6"/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0"/>
              <w:jc w:val="center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Обеспечить вакцинацию против бешенства восприимчивых животных, относящихся к семействам псовых, кошачьих, куньих, а так же крупного рогатого скота, овец, коз, свиней и лошадей, не вакцинированных против бешенства или с момента вакцинации которых прошло 180 календарных дней и более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Немедленно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0"/>
              <w:jc w:val="center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Обеспечить отсутствие на территории неблагополучного пункта животных без владельцев путем отлова животных без владельца с последующим изолированным содержанием таких животных в течение 14 календарных дней с момента отлова и вакцинацией против бешенства вакцинами согласно инструкциям по их применению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период действия ограничительных мероприятий (карантина)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0"/>
              <w:spacing w:lineRule="auto" w:line="240"/>
              <w:jc w:val="center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ОГАУ Кожевниковское районное ветеринарное управление</w:t>
            </w:r>
          </w:p>
        </w:tc>
      </w:tr>
      <w:tr>
        <w:trPr/>
        <w:tc>
          <w:tcPr>
            <w:tcW w:w="67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2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71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both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Обеспечить отсутствие восприимчивых животных, отнесенных к охотничьим ресурсам, путем регулирования их численности</w:t>
            </w:r>
          </w:p>
        </w:tc>
        <w:tc>
          <w:tcPr>
            <w:tcW w:w="30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Style15"/>
              <w:spacing w:before="0" w:after="0"/>
              <w:jc w:val="center"/>
              <w:rPr/>
            </w:pPr>
            <w:r>
              <w:rPr>
                <w:rFonts w:ascii="PT Astra Serif" w:hAnsi="PT Astra Serif"/>
                <w:sz w:val="26"/>
                <w:szCs w:val="26"/>
              </w:rPr>
              <w:t>В период действия ограничительных мероприятий (карантина)</w:t>
            </w:r>
          </w:p>
        </w:tc>
        <w:tc>
          <w:tcPr>
            <w:tcW w:w="37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0"/>
              <w:jc w:val="center"/>
              <w:rPr/>
            </w:pPr>
            <w:r>
              <w:rPr>
                <w:rStyle w:val="2"/>
                <w:rFonts w:ascii="PT Astra Serif" w:hAnsi="PT Astra Serif"/>
                <w:sz w:val="26"/>
                <w:szCs w:val="26"/>
              </w:rPr>
              <w:t>Департамент охотничьего и рыбного хозяйства Томской области (по согласованию)</w:t>
            </w:r>
          </w:p>
        </w:tc>
      </w:tr>
    </w:tbl>
    <w:p>
      <w:pPr>
        <w:pStyle w:val="Normal"/>
        <w:spacing w:lineRule="auto" w:line="360" w:before="0" w:after="200"/>
        <w:rPr>
          <w:rStyle w:val="2"/>
          <w:rFonts w:ascii="PT Astra Serif" w:hAnsi="PT Astra Serif"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2">
    <w:name w:val="Основной шрифт абзаца2"/>
    <w:qFormat/>
    <w:rPr/>
  </w:style>
  <w:style w:type="character" w:styleId="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andard" w:customStyle="1">
    <w:name w:val="Standard"/>
    <w:qFormat/>
    <w:rsid w:val="000f039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zh-CN" w:bidi="ar-SA"/>
    </w:rPr>
  </w:style>
  <w:style w:type="paragraph" w:styleId="Style19" w:customStyle="1">
    <w:name w:val="ПодписьСогл_дол+ФИО"/>
    <w:basedOn w:val="Normal"/>
    <w:qFormat/>
    <w:rsid w:val="000f0393"/>
    <w:pPr>
      <w:tabs>
        <w:tab w:val="clear" w:pos="708"/>
        <w:tab w:val="right" w:pos="10035" w:leader="none"/>
      </w:tabs>
      <w:suppressAutoHyphens w:val="true"/>
      <w:spacing w:lineRule="auto" w:line="240" w:before="0" w:after="120"/>
    </w:pPr>
    <w:rPr>
      <w:rFonts w:ascii="Times New Roman" w:hAnsi="Times New Roman" w:eastAsia="Times New Roman" w:cs="Times New Roman"/>
      <w:kern w:val="2"/>
      <w:sz w:val="24"/>
      <w:szCs w:val="24"/>
      <w:lang w:eastAsia="zh-CN"/>
    </w:rPr>
  </w:style>
  <w:style w:type="paragraph" w:styleId="Style20" w:customStyle="1">
    <w:name w:val="Содержимое таблицы"/>
    <w:basedOn w:val="Standard"/>
    <w:qFormat/>
    <w:rsid w:val="000f0393"/>
    <w:pPr>
      <w:widowControl w:val="false"/>
      <w:suppressLineNumbers/>
      <w:jc w:val="both"/>
      <w:textAlignment w:val="baseline"/>
    </w:pPr>
    <w:rPr>
      <w:rFonts w:eastAsia="Lucida Sans Unicode" w:cs="Mangal"/>
      <w:kern w:val="2"/>
      <w:sz w:val="28"/>
      <w:szCs w:val="24"/>
      <w:lang w:bidi="hi-IN"/>
    </w:rPr>
  </w:style>
  <w:style w:type="paragraph" w:styleId="Style21" w:customStyle="1">
    <w:name w:val="Текст шапки"/>
    <w:basedOn w:val="Normal"/>
    <w:qFormat/>
    <w:rsid w:val="000f0393"/>
    <w:pPr>
      <w:widowControl w:val="false"/>
      <w:suppressAutoHyphens w:val="true"/>
      <w:spacing w:lineRule="auto" w:line="240" w:before="0" w:after="0"/>
      <w:jc w:val="center"/>
      <w:textAlignment w:val="baseline"/>
    </w:pPr>
    <w:rPr>
      <w:rFonts w:ascii="Times New Roman" w:hAnsi="Times New Roman" w:eastAsia="Lucida Sans Unicode" w:cs="Mangal"/>
      <w:b/>
      <w:bCs/>
      <w:kern w:val="2"/>
      <w:sz w:val="30"/>
      <w:szCs w:val="30"/>
      <w:lang w:eastAsia="zh-CN" w:bidi="hi-IN"/>
    </w:rPr>
  </w:style>
  <w:style w:type="paragraph" w:styleId="ConsPlusDocList">
    <w:name w:val="ConsPlusDocList"/>
    <w:next w:val="Normal"/>
    <w:qFormat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Arial" w:hAnsi="Arial" w:eastAsia="Arial" w:cs="Arial"/>
      <w:color w:val="auto"/>
      <w:kern w:val="2"/>
      <w:sz w:val="20"/>
      <w:szCs w:val="20"/>
      <w:lang w:val="ru-RU" w:eastAsia="ja-JP" w:bidi="fa-IR"/>
    </w:rPr>
  </w:style>
  <w:style w:type="paragraph" w:styleId="Style22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Application>LibreOffice/6.4.7.2$Linux_X86_64 LibreOffice_project/40$Build-2</Application>
  <Pages>4</Pages>
  <Words>687</Words>
  <Characters>5235</Characters>
  <CharactersWithSpaces>5870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2022-03-03T10:34:00Z</dcterms:created>
  <dc:creator>Ольга Николаевна Семенова</dc:creator>
  <dc:description/>
  <dc:language>ru-RU</dc:language>
  <cp:lastModifiedBy/>
  <cp:lastPrinted>2023-01-09T10:10:00Z</cp:lastPrinted>
  <dcterms:modified xsi:type="dcterms:W3CDTF">2023-01-16T13:28:02Z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