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34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720"/>
          <w:tab w:val="right" w:pos="9930" w:leader="none"/>
        </w:tabs>
        <w:ind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tabs>
          <w:tab w:val="clear" w:pos="720"/>
          <w:tab w:val="right" w:pos="9930" w:leader="none"/>
        </w:tabs>
        <w:ind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tbl>
      <w:tblPr>
        <w:tblW w:w="1034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736"/>
        <w:gridCol w:w="6195"/>
        <w:gridCol w:w="567"/>
        <w:gridCol w:w="849"/>
      </w:tblGrid>
      <w:tr>
        <w:trPr/>
        <w:tc>
          <w:tcPr>
            <w:tcW w:w="2736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33"/>
              <w:snapToGrid w:val="false"/>
              <w:ind w:firstLine="709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cs="PT Astra Serif" w:ascii="PT Astra Serif" w:hAnsi="PT Astra Serif"/>
                <w:szCs w:val="28"/>
              </w:rPr>
              <w:t>24.02.2022</w:t>
            </w:r>
          </w:p>
        </w:tc>
        <w:tc>
          <w:tcPr>
            <w:tcW w:w="6195" w:type="dxa"/>
            <w:tcBorders/>
            <w:shd w:color="auto" w:fill="auto" w:val="clear"/>
          </w:tcPr>
          <w:p>
            <w:pPr>
              <w:pStyle w:val="Style33"/>
              <w:snapToGrid w:val="false"/>
              <w:ind w:firstLine="709"/>
              <w:rPr>
                <w:rFonts w:ascii="PT Astra Serif" w:hAnsi="PT Astra Serif" w:cs="PT Astra Serif"/>
                <w:szCs w:val="28"/>
              </w:rPr>
            </w:pPr>
            <w:r>
              <w:rPr>
                <w:rFonts w:cs="PT Astra Serif" w:ascii="PT Astra Serif" w:hAnsi="PT Astra Serif"/>
                <w:szCs w:val="28"/>
              </w:rPr>
            </w:r>
          </w:p>
        </w:tc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right" w:pos="9930" w:leader="none"/>
              </w:tabs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cs="PT Astra Serif" w:ascii="PT Astra Serif" w:hAnsi="PT Astra Serif"/>
                <w:szCs w:val="28"/>
              </w:rPr>
              <w:t>№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33"/>
              <w:snapToGrid w:val="false"/>
              <w:ind w:firstLine="84"/>
              <w:rPr>
                <w:rFonts w:ascii="PT Astra Serif" w:hAnsi="PT Astra Serif" w:cs="PT Astra Serif"/>
                <w:szCs w:val="28"/>
              </w:rPr>
            </w:pPr>
            <w:r>
              <w:rPr>
                <w:rFonts w:cs="PT Astra Serif" w:ascii="PT Astra Serif" w:hAnsi="PT Astra Serif"/>
                <w:szCs w:val="28"/>
              </w:rPr>
              <w:t>39/1</w:t>
            </w:r>
          </w:p>
        </w:tc>
      </w:tr>
      <w:tr>
        <w:trPr>
          <w:trHeight w:val="888" w:hRule="atLeast"/>
        </w:trPr>
        <w:tc>
          <w:tcPr>
            <w:tcW w:w="10347" w:type="dxa"/>
            <w:gridSpan w:val="4"/>
            <w:tcBorders/>
            <w:shd w:color="auto" w:fill="auto" w:val="clear"/>
          </w:tcPr>
          <w:p>
            <w:pPr>
              <w:pStyle w:val="Style33"/>
              <w:snapToGrid w:val="false"/>
              <w:ind w:firstLine="709"/>
              <w:jc w:val="center"/>
              <w:rPr>
                <w:rFonts w:ascii="PT Astra Serif" w:hAnsi="PT Astra Serif" w:eastAsia="Times New Roman" w:cs="PT Astra Serif"/>
                <w:kern w:val="0"/>
                <w:sz w:val="20"/>
                <w:szCs w:val="28"/>
                <w:lang w:eastAsia="ru-RU" w:bidi="ar-SA"/>
              </w:rPr>
            </w:pPr>
            <w:r>
              <w:rPr>
                <w:rFonts w:eastAsia="Times New Roman" w:cs="PT Astra Serif" w:ascii="PT Astra Serif" w:hAnsi="PT Astra Serif"/>
                <w:kern w:val="0"/>
                <w:sz w:val="20"/>
                <w:szCs w:val="28"/>
                <w:lang w:eastAsia="ru-RU" w:bidi="ar-SA"/>
              </w:rPr>
            </w:r>
          </w:p>
          <w:p>
            <w:pPr>
              <w:pStyle w:val="Style33"/>
              <w:ind w:firstLine="709"/>
              <w:jc w:val="center"/>
              <w:rPr/>
            </w:pPr>
            <w:r>
              <w:rPr>
                <w:rFonts w:cs="PT Astra Serif" w:ascii="PT Astra Serif" w:hAnsi="PT Astra Serif"/>
                <w:szCs w:val="28"/>
              </w:rPr>
              <w:t>Об утверждении Порядка составления и утверждения  плана финансово-хозяйственной деятельности областных государственных автономных учреждений, в отношении которых функции и полномочия учредителя осуществляет Департамент ветеринарии Томской области</w:t>
            </w:r>
          </w:p>
        </w:tc>
      </w:tr>
      <w:tr>
        <w:trPr/>
        <w:tc>
          <w:tcPr>
            <w:tcW w:w="10347" w:type="dxa"/>
            <w:gridSpan w:val="4"/>
            <w:tcBorders/>
            <w:shd w:color="auto" w:fill="auto" w:val="clear"/>
          </w:tcPr>
          <w:p>
            <w:pPr>
              <w:pStyle w:val="Style33"/>
              <w:snapToGrid w:val="false"/>
              <w:ind w:firstLine="709"/>
              <w:jc w:val="center"/>
              <w:rPr>
                <w:rFonts w:ascii="PT Astra Serif" w:hAnsi="PT Astra Serif" w:eastAsia="Times New Roman" w:cs="PT Astra Serif"/>
                <w:kern w:val="0"/>
                <w:sz w:val="20"/>
                <w:szCs w:val="28"/>
                <w:lang w:eastAsia="ru-RU" w:bidi="ar-SA"/>
              </w:rPr>
            </w:pPr>
            <w:r>
              <w:rPr>
                <w:rFonts w:eastAsia="Times New Roman" w:cs="PT Astra Serif" w:ascii="PT Astra Serif" w:hAnsi="PT Astra Serif"/>
                <w:kern w:val="0"/>
                <w:sz w:val="20"/>
                <w:szCs w:val="28"/>
                <w:lang w:eastAsia="ru-RU" w:bidi="ar-SA"/>
              </w:rPr>
            </w:r>
          </w:p>
        </w:tc>
      </w:tr>
    </w:tbl>
    <w:p>
      <w:pPr>
        <w:pStyle w:val="Normal"/>
        <w:ind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ind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  <w:t>В соответствии с подпунктом 6 пункта 3.3 статьи 32 Федерального закона от 12 января 1996 года №7-ФЗ «О некоммерческих организациях», Положением о Департаменте ветеринарии Томской области, утвержденным постановлением Губернатора Томской области от 11.09.2018 № 83, Требованиями к составлению и утверждению плана финансово-хозяйственной деятельности государственного (муниципального) учреждения, утвержденными приказом Министерства финансов Российской Федерации от 31 августа 2018 года № 186н</w:t>
      </w:r>
    </w:p>
    <w:p>
      <w:pPr>
        <w:pStyle w:val="Normal"/>
        <w:ind w:firstLine="709"/>
        <w:rPr>
          <w:rFonts w:ascii="PT Astra Serif" w:hAnsi="PT Astra Serif" w:eastAsia="Times New Roman" w:cs="Times New Roman"/>
          <w:kern w:val="0"/>
          <w:szCs w:val="28"/>
          <w:lang w:eastAsia="ru-RU" w:bidi="ar-SA"/>
        </w:rPr>
      </w:pPr>
      <w:r>
        <w:rPr>
          <w:rFonts w:cs="PT Astra Serif" w:ascii="PT Astra Serif" w:hAnsi="PT Astra Serif"/>
          <w:szCs w:val="28"/>
        </w:rPr>
        <w:t xml:space="preserve">1. Утвердить Порядок составления и утверждения плана финансово-хозяйственной деятельности областных государственных автономных учреждений, в отношении которых функции и полномочия учредителя осуществляет Департамент ветеринарии Томской области, согласно приложению к настоящему распоряжению. </w:t>
      </w:r>
    </w:p>
    <w:p>
      <w:pPr>
        <w:pStyle w:val="Normal"/>
        <w:ind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  <w:t>2. Признать утратившим силу распоряжение Департамента ветеринарии Томской области от 09.12.2019г. № 200 «Об утверждении Порядка составления и утверждения плана финансово-хозяйственной деятельности областных государственных автономных учреждений, в отношении которых функции и полномочия учредителя осуществляет Департамент ветеринарии Томской области».</w:t>
      </w:r>
    </w:p>
    <w:p>
      <w:pPr>
        <w:pStyle w:val="Normal"/>
        <w:ind w:firstLine="709"/>
        <w:rPr/>
      </w:pPr>
      <w:r>
        <w:rPr>
          <w:rFonts w:cs="PT Astra Serif" w:ascii="PT Astra Serif" w:hAnsi="PT Astra Serif"/>
          <w:szCs w:val="28"/>
        </w:rPr>
        <w:t>3. Контроль за исполнением настоящего распоряжения возложить на руководителей областных государственных автономных учреждений, в отношении которых функции и полномочия учредителя осуществляет Департамент ветеринарии Томской области.</w:t>
      </w:r>
    </w:p>
    <w:p>
      <w:pPr>
        <w:pStyle w:val="Style31"/>
        <w:ind w:left="-15"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Style31"/>
        <w:ind w:left="-15" w:firstLine="709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Style31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567" w:header="0" w:top="709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Style35"/>
        <w:rPr/>
      </w:pPr>
      <w:r>
        <w:rPr>
          <w:rFonts w:cs="PT Astra Serif" w:ascii="PT Astra Serif" w:hAnsi="PT Astra Serif"/>
          <w:szCs w:val="28"/>
        </w:rPr>
        <w:t>Начальник департамента</w:t>
        <w:tab/>
      </w:r>
      <w:r>
        <w:fldChar w:fldCharType="begin">
          <w:ffData>
            <w:name w:val="__Fieldmark__2753_510225079"/>
            <w:enabled/>
            <w:ddList>
              <w:result w:val="0"/>
              <w:listEntry w:val="В.В.Табакаев"/>
              <w:listEntry w:val="С.В.Непомнящих"/>
              <w:listEntry w:val="Е.В.Гынгазова"/>
            </w:ddList>
          </w:ffData>
        </w:fldChar>
      </w:r>
      <w:r>
        <w:rPr>
          <w:szCs w:val="28"/>
          <w:rFonts w:cs="PT Astra Serif" w:ascii="PT Astra Serif" w:hAnsi="PT Astra Serif"/>
        </w:rPr>
        <w:instrText> FORMDROPDOWN </w:instrText>
      </w:r>
      <w:r>
        <w:rPr>
          <w:szCs w:val="28"/>
          <w:rFonts w:cs="PT Astra Serif" w:ascii="PT Astra Serif" w:hAnsi="PT Astra Serif"/>
        </w:rPr>
        <w:fldChar w:fldCharType="separate"/>
      </w:r>
      <w:bookmarkStart w:id="0" w:name="__Fieldmark__2753_510225079"/>
      <w:bookmarkStart w:id="1" w:name="__Fieldmark__2753_510225079"/>
      <w:bookmarkEnd w:id="1"/>
      <w:r>
        <w:rPr>
          <w:rFonts w:cs="PT Astra Serif" w:ascii="PT Astra Serif" w:hAnsi="PT Astra Serif"/>
          <w:szCs w:val="28"/>
        </w:rPr>
      </w:r>
      <w:r>
        <w:rPr>
          <w:szCs w:val="28"/>
          <w:rFonts w:cs="PT Astra Serif" w:ascii="PT Astra Serif" w:hAnsi="PT Astra Serif"/>
        </w:rPr>
        <w:fldChar w:fldCharType="end"/>
      </w:r>
    </w:p>
    <w:p>
      <w:pPr>
        <w:pStyle w:val="Style31"/>
        <w:ind w:left="6379" w:firstLine="15"/>
        <w:jc w:val="left"/>
        <w:rPr>
          <w:rStyle w:val="11"/>
        </w:rPr>
      </w:pPr>
      <w:r>
        <w:rPr>
          <w:rStyle w:val="11"/>
          <w:rFonts w:cs="PT Astra Serif" w:ascii="PT Astra Serif" w:hAnsi="PT Astra Serif"/>
          <w:szCs w:val="28"/>
        </w:rPr>
        <w:t xml:space="preserve">Приложение к распоряжению </w:t>
      </w:r>
    </w:p>
    <w:p>
      <w:pPr>
        <w:pStyle w:val="Style31"/>
        <w:ind w:left="6379" w:firstLine="15"/>
        <w:jc w:val="left"/>
        <w:rPr>
          <w:rStyle w:val="11"/>
          <w:rFonts w:ascii="PT Astra Serif" w:hAnsi="PT Astra Serif" w:cs="PT Astra Serif"/>
          <w:szCs w:val="28"/>
        </w:rPr>
      </w:pPr>
      <w:r>
        <w:rPr>
          <w:rStyle w:val="11"/>
          <w:rFonts w:cs="PT Astra Serif" w:ascii="PT Astra Serif" w:hAnsi="PT Astra Serif"/>
          <w:szCs w:val="28"/>
        </w:rPr>
        <w:t>Департамента ветеринарии Томской области</w:t>
      </w:r>
    </w:p>
    <w:p>
      <w:pPr>
        <w:pStyle w:val="Style31"/>
        <w:ind w:left="6379" w:firstLine="15"/>
        <w:jc w:val="left"/>
        <w:rPr>
          <w:rStyle w:val="11"/>
          <w:rFonts w:ascii="PT Astra Serif" w:hAnsi="PT Astra Serif" w:cs="PT Astra Serif"/>
          <w:szCs w:val="28"/>
        </w:rPr>
      </w:pPr>
      <w:r>
        <w:rPr>
          <w:rStyle w:val="11"/>
          <w:rFonts w:cs="PT Astra Serif" w:ascii="PT Astra Serif" w:hAnsi="PT Astra Serif"/>
          <w:szCs w:val="28"/>
        </w:rPr>
        <w:t>От 24.02.2022 № 39/1</w:t>
      </w:r>
      <w:bookmarkStart w:id="2" w:name="_GoBack"/>
      <w:bookmarkEnd w:id="2"/>
    </w:p>
    <w:p>
      <w:pPr>
        <w:pStyle w:val="Style31"/>
        <w:ind w:left="-15" w:firstLine="709"/>
        <w:jc w:val="center"/>
        <w:rPr>
          <w:rStyle w:val="11"/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widowControl/>
        <w:suppressAutoHyphens w:val="false"/>
        <w:jc w:val="center"/>
        <w:rPr>
          <w:rStyle w:val="11"/>
          <w:rFonts w:eastAsia="Times New Roman" w:cs="Arial"/>
          <w:lang w:eastAsia="ru-RU" w:bidi="ar-SA"/>
        </w:rPr>
      </w:pPr>
      <w:r>
        <w:rPr>
          <w:rStyle w:val="11"/>
          <w:rFonts w:eastAsia="Times New Roman" w:cs="Arial"/>
          <w:lang w:eastAsia="ru-RU" w:bidi="ar-SA"/>
        </w:rPr>
        <w:t xml:space="preserve">Порядок </w:t>
      </w:r>
    </w:p>
    <w:p>
      <w:pPr>
        <w:pStyle w:val="Normal"/>
        <w:widowControl/>
        <w:suppressAutoHyphens w:val="false"/>
        <w:jc w:val="center"/>
        <w:rPr>
          <w:rStyle w:val="11"/>
          <w:rFonts w:eastAsia="Times New Roman" w:cs="Arial"/>
          <w:lang w:eastAsia="ru-RU" w:bidi="ar-SA"/>
        </w:rPr>
      </w:pPr>
      <w:r>
        <w:rPr>
          <w:rStyle w:val="11"/>
          <w:rFonts w:eastAsia="Times New Roman" w:cs="Arial"/>
          <w:lang w:eastAsia="ru-RU" w:bidi="ar-SA"/>
        </w:rPr>
        <w:t>составления и утверждения плана финансово-хозяйственной деятельности областных государственных автономных учреждений, в отношении которых функции и полномочия учредителя осуществляет Департамент ветеринарии Томской области</w:t>
      </w:r>
    </w:p>
    <w:p>
      <w:pPr>
        <w:pStyle w:val="Normal"/>
        <w:widowControl/>
        <w:suppressAutoHyphens w:val="false"/>
        <w:ind w:firstLine="709"/>
        <w:jc w:val="center"/>
        <w:rPr>
          <w:rStyle w:val="11"/>
          <w:rFonts w:eastAsia="Times New Roman" w:cs="Arial"/>
          <w:lang w:eastAsia="ru-RU" w:bidi="ar-SA"/>
        </w:rPr>
      </w:pPr>
      <w:r>
        <w:rPr>
          <w:rFonts w:eastAsia="Times New Roman" w:cs="Arial"/>
          <w:lang w:eastAsia="ru-RU" w:bidi="ar-SA"/>
        </w:rPr>
      </w:r>
    </w:p>
    <w:p>
      <w:pPr>
        <w:pStyle w:val="1"/>
        <w:numPr>
          <w:ilvl w:val="0"/>
          <w:numId w:val="2"/>
        </w:numPr>
        <w:spacing w:before="0" w:after="0"/>
        <w:ind w:left="0" w:firstLine="709"/>
        <w:rPr>
          <w:rStyle w:val="11"/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b w:val="false"/>
          <w:bCs w:val="false"/>
          <w:color w:val="000000"/>
          <w:sz w:val="28"/>
          <w:szCs w:val="28"/>
        </w:rPr>
        <w:t>1. Общие положения</w:t>
      </w:r>
    </w:p>
    <w:p>
      <w:pPr>
        <w:pStyle w:val="Normal"/>
        <w:ind w:firstLine="709"/>
        <w:rPr>
          <w:rFonts w:ascii="PT Astra Serif" w:hAnsi="PT Astra Serif" w:cs="PT Astra Serif"/>
          <w:b/>
          <w:b/>
          <w:bCs/>
          <w:color w:val="000000"/>
          <w:szCs w:val="28"/>
        </w:rPr>
      </w:pPr>
      <w:r>
        <w:rPr>
          <w:rFonts w:cs="PT Astra Serif" w:ascii="PT Astra Serif" w:hAnsi="PT Astra Serif"/>
          <w:b/>
          <w:bCs/>
          <w:color w:val="000000"/>
          <w:szCs w:val="28"/>
        </w:rPr>
      </w:r>
    </w:p>
    <w:p>
      <w:pPr>
        <w:pStyle w:val="Normal"/>
        <w:widowControl/>
        <w:suppressAutoHyphens w:val="false"/>
        <w:ind w:firstLine="709"/>
        <w:rPr>
          <w:rStyle w:val="11"/>
        </w:rPr>
      </w:pPr>
      <w:bookmarkStart w:id="3" w:name="sub_1100"/>
      <w:bookmarkEnd w:id="3"/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1. Настоящий Порядок у</w:t>
      </w: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 xml:space="preserve">станавливает правила составления и утверждения </w:t>
      </w: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плана финансово-хозяйственной деятельности (далее – План) областных государственных автономных учреждений (далее – Учреждение), в отношении которых функции и полномочия учредителя осуществляет Департамент ветеринарии Томской области (далее -Департамент).</w:t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2. </w:t>
      </w: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 xml:space="preserve">Подготовка Плана осуществляется в соответствии с </w:t>
      </w:r>
      <w:hyperlink r:id="rId4">
        <w:r>
          <w:rPr>
            <w:rStyle w:val="ListLabel1"/>
            <w:rFonts w:eastAsia="Lucida Sans Unicode"/>
          </w:rPr>
          <w:t>требованиями</w:t>
        </w:r>
      </w:hyperlink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 xml:space="preserve"> к составлению и утверждению плана финансово-хозяйственной деятельности государственного (муниципального) учреждения, утвержденными приказом Министерства финансов Российской Федерации от 31 августа 2018 года № 186н (далее - Требования), и настоящим Порядком</w:t>
      </w: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.</w:t>
      </w:r>
    </w:p>
    <w:p>
      <w:pPr>
        <w:pStyle w:val="Normal"/>
        <w:widowControl/>
        <w:suppressAutoHyphens w:val="false"/>
        <w:ind w:firstLine="709"/>
        <w:rPr>
          <w:rFonts w:cs="Times New Roman"/>
          <w:kern w:val="0"/>
        </w:rPr>
      </w:pP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 xml:space="preserve">3. План составляется на текущий финансовый год и плановый период в соответствии с законом Томской области о областном бюджете, и </w:t>
      </w: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 xml:space="preserve">действует в течение срока действия закона </w:t>
      </w: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Томской области о областном бюджете</w:t>
      </w: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>.</w:t>
      </w:r>
    </w:p>
    <w:p>
      <w:pPr>
        <w:pStyle w:val="Normal"/>
        <w:ind w:firstLine="709"/>
        <w:rPr>
          <w:rStyle w:val="11"/>
          <w:rFonts w:ascii="PT Astra Serif" w:hAnsi="PT Astra Serif" w:cs="PT Astra Serif"/>
          <w:szCs w:val="28"/>
        </w:rPr>
      </w:pP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4. План составляется Учреждением по кассовому методу в рублях с точностью до двух знаков после запятой.</w:t>
      </w:r>
      <w:r>
        <w:rPr>
          <w:rFonts w:cs="PT Astra Serif" w:ascii="PT Astra Serif" w:hAnsi="PT Astra Serif"/>
          <w:szCs w:val="28"/>
        </w:rPr>
        <w:t xml:space="preserve"> </w:t>
      </w:r>
    </w:p>
    <w:p>
      <w:pPr>
        <w:pStyle w:val="Normal"/>
        <w:ind w:firstLine="709"/>
        <w:rPr>
          <w:rStyle w:val="11"/>
          <w:rFonts w:eastAsia="Times New Roman" w:cs="Arial"/>
          <w:lang w:eastAsia="ru-RU" w:bidi="ar-SA"/>
        </w:rPr>
      </w:pP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>5. Согласованный План (План с учетом изменений) размещается Учреждением на официальном сайте в информационно-телекоммуникационной сети Интернет www.bus.gov.ru в соответствии с Порядком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утвержденным приказом Министерства финансов Российской Федерации от 21.07.2011 № 86н.</w:t>
      </w:r>
    </w:p>
    <w:p>
      <w:pPr>
        <w:pStyle w:val="Normal"/>
        <w:ind w:firstLine="709"/>
        <w:jc w:val="center"/>
        <w:rPr>
          <w:rStyle w:val="11"/>
          <w:rFonts w:ascii="PT Astra Serif" w:hAnsi="PT Astra Serif" w:eastAsia="Times New Roman" w:cs="Arial"/>
          <w:szCs w:val="28"/>
          <w:lang w:eastAsia="ru-RU" w:bidi="ar-SA"/>
        </w:rPr>
      </w:pPr>
      <w:r>
        <w:rPr>
          <w:rFonts w:eastAsia="Times New Roman" w:cs="Arial" w:ascii="PT Astra Serif" w:hAnsi="PT Astra Serif"/>
          <w:szCs w:val="28"/>
          <w:lang w:eastAsia="ru-RU" w:bidi="ar-SA"/>
        </w:rPr>
      </w:r>
    </w:p>
    <w:p>
      <w:pPr>
        <w:pStyle w:val="Normal"/>
        <w:ind w:firstLine="709"/>
        <w:jc w:val="center"/>
        <w:rPr>
          <w:rStyle w:val="11"/>
          <w:rFonts w:ascii="PT Astra Serif" w:hAnsi="PT Astra Serif" w:cs="PT Astra Serif"/>
          <w:szCs w:val="28"/>
        </w:rPr>
      </w:pP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2.</w:t>
      </w:r>
      <w:r>
        <w:rPr>
          <w:rStyle w:val="11"/>
          <w:rFonts w:eastAsia="Times New Roman" w:cs="Arial" w:ascii="PT Astra Serif" w:hAnsi="PT Astra Serif"/>
          <w:szCs w:val="28"/>
          <w:lang w:val="en-US" w:eastAsia="ru-RU" w:bidi="ar-SA"/>
        </w:rPr>
        <w:t> </w:t>
      </w: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Сроки и порядок составления проекта Плана</w:t>
      </w:r>
    </w:p>
    <w:p>
      <w:pPr>
        <w:pStyle w:val="Normal"/>
        <w:ind w:firstLine="709"/>
        <w:jc w:val="center"/>
        <w:rPr>
          <w:rStyle w:val="11"/>
          <w:rFonts w:ascii="PT Astra Serif" w:hAnsi="PT Astra Serif" w:eastAsia="Times New Roman" w:cs="Arial"/>
          <w:szCs w:val="28"/>
          <w:lang w:eastAsia="ru-RU" w:bidi="ar-SA"/>
        </w:rPr>
      </w:pPr>
      <w:r>
        <w:rPr>
          <w:rFonts w:eastAsia="Times New Roman" w:cs="Arial" w:ascii="PT Astra Serif" w:hAnsi="PT Astra Serif"/>
          <w:szCs w:val="28"/>
          <w:lang w:eastAsia="ru-RU" w:bidi="ar-SA"/>
        </w:rPr>
      </w:r>
    </w:p>
    <w:p>
      <w:pPr>
        <w:pStyle w:val="Normal"/>
        <w:widowControl/>
        <w:suppressAutoHyphens w:val="false"/>
        <w:ind w:firstLine="540"/>
        <w:rPr>
          <w:rFonts w:cs="PT Astra Serif"/>
          <w:kern w:val="0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6. Учреждение составляет проект Плана при формировании проекта закона Томской области об областном бюджете на очередной финансовый год и плановый период в течение 10 рабочих дней после доведения Департаментом информации о планируемых к предоставлению из областного бюджета объемах бюджетных ассигнований.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7. </w:t>
      </w:r>
      <w:hyperlink r:id="rId5">
        <w:r>
          <w:rPr>
            <w:rStyle w:val="ListLabel2"/>
            <w:rFonts w:eastAsia="Lucida Sans Unicode"/>
          </w:rPr>
          <w:t>План</w:t>
        </w:r>
      </w:hyperlink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 xml:space="preserve"> составляется по форме согласно приложению к настоящему Порядку</w:t>
      </w:r>
      <w:r>
        <w:rPr>
          <w:rFonts w:eastAsia="Times New Roman" w:cs="PT Astra Serif" w:ascii="PT Astra Serif" w:hAnsi="PT Astra Serif"/>
          <w:bCs/>
          <w:kern w:val="0"/>
          <w:szCs w:val="28"/>
          <w:highlight w:val="yellow"/>
          <w:lang w:eastAsia="ru-RU" w:bidi="ar-SA"/>
        </w:rPr>
        <w:t>.</w:t>
      </w:r>
    </w:p>
    <w:p>
      <w:pPr>
        <w:pStyle w:val="Normal"/>
        <w:widowControl/>
        <w:suppressAutoHyphens w:val="false"/>
        <w:ind w:firstLine="709"/>
        <w:rPr>
          <w:rStyle w:val="11"/>
          <w:rFonts w:ascii="PT Astra Serif" w:hAnsi="PT Astra Serif" w:cs="PT Astra Serif"/>
          <w:szCs w:val="28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План составляется на основании обоснований (расчетов) плановых показателей поступлений и выплат в соответствии с разделом III Требований.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8. При составлении Плана (внесении изменений в него) устанавливается (уточняется) плановый объем поступлений и выплат денежных средств.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9. Плановые показатели по поступлениям формируются Учреждением в разрезе: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1) субсидии на финансовое обеспечение выполнения государственного задания;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 xml:space="preserve">2) субсидий, предусмотренных </w:t>
      </w:r>
      <w:r>
        <w:rPr>
          <w:rStyle w:val="ListLabel2"/>
          <w:rFonts w:eastAsia="Lucida Sans Unicode"/>
        </w:rPr>
        <w:t>абзацем вторым пункта 1 статьи 78.1</w:t>
      </w: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 xml:space="preserve"> Бюджетного кодекса Российской Федерации (далее - целевые субсидии), и целей их предоставления;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3) 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(далее - субсидия на осуществление капитальных вложений);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4) иных доходов, которые Учреждение планирует получить при оказании услуг, выполнении работ за плату сверх установленного государственного задания, а в случаях, установленных Федеральным законом, в рамках государственного задания;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5) доходов от иной приносящей доход деятельности, предусмотренной уставом Учреждения.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10. Плановые показатели по поступлениям формируются Учреждением по соответствующим кодам бюджетной классификации Российской Федерации: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- от доходов - по коду аналитической группы подвида доходов бюджетов классификации доходов бюджетов;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- от возврата дебиторской задолженности прошлых лет - по коду аналитической группы вида источников финансирования дефицитов бюджетов классификации источников финансирования дефицитов бюджетов.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11. Плановые показатели по выплатам формируются Учреждением в соответствии с настоящим Порядком в разрезе выплат: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1) по расходам, связанным с осуществлением деятельности, предусмотренной уставом учреждения, - по кодам видов расходов классификации расходов бюджетов, в разрезе классификации операций сектора государственного управления;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2) по расходам по возврату в бюджет остатков субсидий прошлых лет - по коду аналитической группы вида источников финансирования дефицитов бюджетов классификации источников финансирования дефицитов бюджетов;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3) по уплате налогов, объектом налогообложения которых являются доходы (прибыль, НДС, УСН) учреждения, - по коду аналитической группы подвида доходов бюджетов классификации доходов бюджетов;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12. Показатели Плана формируются Учреждением с дополнительной детализацией по кодам статей (подстатей) групп (статей) классификации операций сектора государственного управления и (или) кодов иных аналитических показателей.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 xml:space="preserve">13. При предоставлении Учреждению целевой субсидии, субсидии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собственность Учреждение составляет и представляет в Департамент </w:t>
      </w:r>
      <w:hyperlink r:id="rId6">
        <w:r>
          <w:rPr>
            <w:rStyle w:val="ListLabel2"/>
            <w:rFonts w:eastAsia="Lucida Sans Unicode"/>
          </w:rPr>
          <w:t>сведения</w:t>
        </w:r>
      </w:hyperlink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 xml:space="preserve"> об операциях с целевыми субсидиями (далее - Сведения), по форме установленной приказом Департамента финансов Томской области от 14.12.2010 N 51 «Об утверждении Порядка санкционирования расходов областных государственных бюджетных и автономных учреждений, источником финансового обеспечения которых являются средства, полученные в соответствии с абзацем вторым пункта 1 статьи 78.1 и пунктом 1 статьи 78.2 Бюджетного кодекса Российской Федерации».</w:t>
      </w:r>
    </w:p>
    <w:p>
      <w:pPr>
        <w:pStyle w:val="Normal"/>
        <w:ind w:firstLine="709"/>
        <w:rPr>
          <w:rStyle w:val="11"/>
          <w:rFonts w:cs="Arial"/>
        </w:rPr>
      </w:pPr>
      <w:r>
        <w:rPr>
          <w:rFonts w:cs="Arial"/>
        </w:rPr>
      </w:r>
    </w:p>
    <w:p>
      <w:pPr>
        <w:pStyle w:val="Normal"/>
        <w:widowControl/>
        <w:suppressAutoHyphens w:val="false"/>
        <w:ind w:firstLine="709"/>
        <w:jc w:val="center"/>
        <w:rPr>
          <w:rFonts w:ascii="PT Astra Serif" w:hAnsi="PT Astra Serif"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>3. Сроки и порядок утверждения Плана</w:t>
      </w:r>
    </w:p>
    <w:p>
      <w:pPr>
        <w:pStyle w:val="Normal"/>
        <w:ind w:firstLine="709"/>
        <w:rPr>
          <w:rStyle w:val="11"/>
          <w:rFonts w:cs="Arial"/>
        </w:rPr>
      </w:pPr>
      <w:r>
        <w:rPr>
          <w:rFonts w:cs="Arial"/>
        </w:rPr>
      </w:r>
    </w:p>
    <w:p>
      <w:pPr>
        <w:pStyle w:val="Normal"/>
        <w:widowControl/>
        <w:suppressAutoHyphens w:val="false"/>
        <w:ind w:firstLine="709"/>
        <w:rPr>
          <w:rFonts w:cs="PT Astra Serif"/>
          <w:kern w:val="0"/>
        </w:rPr>
      </w:pPr>
      <w:r>
        <w:rPr>
          <w:rStyle w:val="11"/>
          <w:rFonts w:eastAsia="Times New Roman" w:cs="Arial" w:ascii="PT Astra Serif" w:hAnsi="PT Astra Serif"/>
          <w:szCs w:val="28"/>
          <w:lang w:eastAsia="ru-RU" w:bidi="ar-SA"/>
        </w:rPr>
        <w:t>14.</w:t>
      </w:r>
      <w:r>
        <w:rPr>
          <w:rFonts w:cs="PT Astra Serif" w:ascii="PT Astra Serif" w:hAnsi="PT Astra Serif"/>
          <w:szCs w:val="28"/>
        </w:rPr>
        <w:t> 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Проект Плана разрабатывается Уреждением в течение 7 рабочих дней после доведения Департаментом до Учреждения лимитов бюджетных обязательств на текущий финансовый год и плановый период.</w:t>
      </w:r>
    </w:p>
    <w:p>
      <w:pPr>
        <w:pStyle w:val="Normal"/>
        <w:suppressAutoHyphens w:val="false"/>
        <w:ind w:firstLine="709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15. Проект Плана представляется на рассмотрение в электронном виде с приложением копий необходимых документов на рассмотрение Наблюдательному совету не менее чем за 10 календарных дней до дня заседания.</w:t>
      </w:r>
    </w:p>
    <w:p>
      <w:pPr>
        <w:pStyle w:val="Normal"/>
        <w:widowControl/>
        <w:suppressAutoHyphens w:val="false"/>
        <w:ind w:firstLine="709"/>
        <w:rPr>
          <w:rStyle w:val="11"/>
          <w:rFonts w:ascii="PT Astra Serif" w:hAnsi="PT Astra Serif" w:cs="PT Astra Serif"/>
          <w:szCs w:val="28"/>
        </w:rPr>
      </w:pP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>16. 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План утверждается руководителем Учреждения не позднее 3 рабочих дней со дня согласования Наблюдательным советом.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17. Копия Плана направляется в Департамент в течение 3 рабочих дней со дня его утверждения посредством электронной почты.</w:t>
      </w:r>
    </w:p>
    <w:p>
      <w:pPr>
        <w:pStyle w:val="Normal"/>
        <w:widowControl/>
        <w:suppressAutoHyphens w:val="false"/>
        <w:ind w:firstLine="709"/>
        <w:rPr>
          <w:rStyle w:val="11"/>
          <w:rFonts w:ascii="PT Astra Serif" w:hAnsi="PT Astra Serif" w:cs="PT Astra Serif"/>
          <w:szCs w:val="28"/>
        </w:rPr>
      </w:pPr>
      <w:r>
        <w:rPr>
          <w:rFonts w:eastAsia="Times New Roman" w:cs="Times New Roman" w:ascii="PT Astra Serif" w:hAnsi="PT Astra Serif"/>
          <w:kern w:val="0"/>
          <w:szCs w:val="28"/>
          <w:lang w:eastAsia="ru-RU" w:bidi="ar-SA"/>
        </w:rPr>
        <w:t>18. 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План вносится в автоматизированный программный продукт «Автоматизированный центр контроля «Финансы» в течение 3 рабочих дней со дня его утверждения.</w:t>
      </w:r>
    </w:p>
    <w:p>
      <w:pPr>
        <w:pStyle w:val="Normal"/>
        <w:widowControl/>
        <w:suppressAutoHyphens w:val="false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</w:r>
    </w:p>
    <w:p>
      <w:pPr>
        <w:pStyle w:val="Normal"/>
        <w:widowControl/>
        <w:numPr>
          <w:ilvl w:val="0"/>
          <w:numId w:val="0"/>
        </w:numPr>
        <w:suppressAutoHyphens w:val="false"/>
        <w:jc w:val="center"/>
        <w:outlineLvl w:val="0"/>
        <w:rPr>
          <w:rFonts w:ascii="PT Astra Serif" w:hAnsi="PT Astra Serif" w:eastAsia="Times New Roman" w:cs="PT Astra Serif"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Cs/>
          <w:kern w:val="0"/>
          <w:szCs w:val="28"/>
          <w:lang w:eastAsia="ru-RU" w:bidi="ar-SA"/>
        </w:rPr>
        <w:t>4. Порядок внесения изменений в План</w:t>
      </w:r>
    </w:p>
    <w:p>
      <w:pPr>
        <w:pStyle w:val="Normal"/>
        <w:widowControl/>
        <w:suppressAutoHyphens w:val="false"/>
        <w:rPr>
          <w:rFonts w:ascii="PT Astra Serif" w:hAnsi="PT Astra Serif" w:eastAsia="Times New Roman" w:cs="PT Astra Serif"/>
          <w:b/>
          <w:b/>
          <w:bCs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b/>
          <w:bCs/>
          <w:kern w:val="0"/>
          <w:szCs w:val="28"/>
          <w:lang w:eastAsia="ru-RU" w:bidi="ar-SA"/>
        </w:rPr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19. Изменение показателей Плана в течение текущего финансового года осуществляется в связи с: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1) использованием остатков средств на начало текущего финансового года, в том числе неиспользованных остатков целевых субсидий и субсидий на осуществление капитальных вложений;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2) изменением объемов планируемых поступлений, а также объемов и (или) направлений выплат, в том числе в связи с изменением объема предоставляемых субсидий на финансовое обеспечение государственного задания, целевых субсидий, субсидий на осуществление капитальных вложений, грантов;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3) изменением объема услуг (работ), предоставляемых за плату;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4) изменением объемов безвозмездных поступлений от юридических и физических лиц;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bookmarkStart w:id="4" w:name="Par7"/>
      <w:bookmarkEnd w:id="4"/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5) поступлением средств дебиторской задолженности прошлых лет, не включенных в показатели Плана при его составлении;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6) увеличением выплат по неисполненным обязательствам прошлых лет, не включенных в показатели Плана при его составлении;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7) проведением реорганизации Учреждения.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20. В целях внесения изменений составляется новый План, показатели которого после внесения в них изменений, предусматривающих уменьшение выплат, не должны быть меньше кассовых выплат по указанным направлениям, произведенных до внесения изменений в показатели Плана.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21. Внесение изменений в показатели Плана по поступлениям и (или) выплатам должно формироваться путем внесения изменений в соответствующие обоснования (расчеты) плановых показателей поступлений и выплат, сформированные при составлении Плана, за исключением случаев, предусмотренных пунктом 22 настоящего Порядка.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22. Учреждение вправе осуществлять внесение изменений в показатели Плана без внесения изменений в соответствующие обоснования (расчеты) плановых показателей поступлений и выплат, исходя из информации, содержащейся в документах, являющихся основанием для поступления денежных средств или осуществления выплат, ранее не включенных в показатели Плана: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1) при поступлении в текущем финансовом году: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сумм возврата дебиторской задолженности прошлых лет;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сумм, поступивших в возмещение ущерба, недостач, выявленных в текущем финансовом году;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сумм, поступивших по решению суда или на основании исполнительных документов;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2) при необходимости осуществления выплат: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по возврату в бюджет бюджетной системы Российской Федерации субсидий, полученных в прошлых отчетных периодах;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по возмещению ущерба;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по решению суда, на основании исполнительных документов;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- по уплате штрафов, в том числе административных.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23. При внесении изменений в показатели Плана в случае, установленном подпунктом 5 пункта 19 настоящего Порядка, при реорганизации: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1) в форме присоединения, слияния - показатели Плана Учреждения-правопреемника формируются с учетом показателей Планов реорганизуемых учреждений, прекращающих свою деятельность путем построчного объединения (суммирования) показателей поступлений и выплат;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2) в форме выделения - показатели Плана Учреждения, реорганизованного путем выделения из него других учреждений, подлежат уменьшению на показатели поступлений и выплат Планов вновь возникших юридических лиц;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3) в форме разделения -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учреждения, прекращающего свою деятельность.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После завершения реорганизации показатели поступлений и выплат Планов реорганизованного(ых) Учреждения (Учреждений) при суммировании должны соответствовать показателям Плана(ов) Учреждения(ий) до начала реорганизации.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24. Показатели Плана после внесения в них изменений не должны вступать в противоречие в части кассовых операций по выплатам, проведенным до внесения изменения в План.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25. Пояснительная записка о необходимости внесения изменений в утвержденный План и (или) Сведения направляется Наблюдательному совету посредством электронной почты.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26. Наблюдательный совет в течение 7 рабочих дней со дня предоставления Учреждением пояснительной записки принимает решение о согласовании или не согласовании изменений в План.</w:t>
      </w:r>
    </w:p>
    <w:p>
      <w:pPr>
        <w:pStyle w:val="Normal"/>
        <w:widowControl/>
        <w:suppressAutoHyphens w:val="false"/>
        <w:ind w:firstLine="540"/>
        <w:rPr>
          <w:rFonts w:ascii="PT Astra Serif" w:hAnsi="PT Astra Serif" w:eastAsia="Times New Roman" w:cs="PT Astra Serif"/>
          <w:kern w:val="0"/>
          <w:szCs w:val="28"/>
          <w:lang w:eastAsia="ru-RU" w:bidi="ar-SA"/>
        </w:rPr>
      </w:pP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27. Изменения в План вносятся в автоматизированный программный продукт «Автоматизированный центр контроля «Финансы».</w:t>
      </w:r>
    </w:p>
    <w:sectPr>
      <w:headerReference w:type="default" r:id="rId7"/>
      <w:footerReference w:type="default" r:id="rId8"/>
      <w:type w:val="nextPage"/>
      <w:pgSz w:w="11906" w:h="16838"/>
      <w:pgMar w:left="709" w:right="567" w:header="0" w:top="70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qFormat/>
    <w:pPr>
      <w:numPr>
        <w:ilvl w:val="0"/>
        <w:numId w:val="1"/>
      </w:numPr>
      <w:spacing w:before="108" w:after="108"/>
      <w:jc w:val="center"/>
      <w:outlineLvl w:val="0"/>
    </w:pPr>
    <w:rPr>
      <w:b/>
      <w:bCs/>
      <w:color w:val="000080"/>
      <w:sz w:val="24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  <w:szCs w:val="28"/>
    </w:rPr>
  </w:style>
  <w:style w:type="character" w:styleId="Style11" w:customStyle="1">
    <w:name w:val="Интернет-ссылка"/>
    <w:rPr>
      <w:color w:val="000080"/>
      <w:u w:val="single"/>
    </w:rPr>
  </w:style>
  <w:style w:type="character" w:styleId="Style12" w:customStyle="1">
    <w:name w:val="Öâåòîâîå âûäåëåíèå"/>
    <w:qFormat/>
    <w:rPr>
      <w:b/>
      <w:bCs/>
      <w:color w:val="000080"/>
    </w:rPr>
  </w:style>
  <w:style w:type="character" w:styleId="11" w:customStyle="1">
    <w:name w:val="Основной шрифт абзаца1"/>
    <w:qFormat/>
    <w:rPr/>
  </w:style>
  <w:style w:type="character" w:styleId="Style13" w:customStyle="1">
    <w:name w:val="Символ сноски"/>
    <w:qFormat/>
    <w:rPr/>
  </w:style>
  <w:style w:type="character" w:styleId="Style14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Style15" w:customStyle="1">
    <w:name w:val="Символ концевой сноски"/>
    <w:qFormat/>
    <w:rPr>
      <w:vertAlign w:val="superscript"/>
    </w:rPr>
  </w:style>
  <w:style w:type="character" w:styleId="WW" w:customStyle="1">
    <w:name w:val="WW-Символ концевой сноски"/>
    <w:qFormat/>
    <w:rPr/>
  </w:style>
  <w:style w:type="character" w:styleId="Style16" w:customStyle="1">
    <w:name w:val="Текст выноски Знак"/>
    <w:qFormat/>
    <w:rPr>
      <w:rFonts w:ascii="Tahoma" w:hAnsi="Tahoma" w:eastAsia="Lucida Sans Unicode" w:cs="Mangal"/>
      <w:kern w:val="2"/>
      <w:sz w:val="16"/>
      <w:szCs w:val="14"/>
      <w:lang w:eastAsia="zh-CN" w:bidi="hi-IN"/>
    </w:rPr>
  </w:style>
  <w:style w:type="character" w:styleId="Style17" w:customStyle="1">
    <w:name w:val="Красная строка Знак"/>
    <w:qFormat/>
    <w:rPr>
      <w:rFonts w:eastAsia="Lucida Sans Unicode" w:cs="Mangal"/>
      <w:kern w:val="2"/>
      <w:sz w:val="28"/>
      <w:szCs w:val="24"/>
      <w:lang w:eastAsia="zh-CN" w:bidi="hi-IN"/>
    </w:rPr>
  </w:style>
  <w:style w:type="character" w:styleId="Style18" w:customStyle="1">
    <w:name w:val="Нижний колонтитул Знак"/>
    <w:basedOn w:val="DefaultParagraphFont"/>
    <w:uiPriority w:val="99"/>
    <w:qFormat/>
    <w:rsid w:val="000d5008"/>
    <w:rPr>
      <w:rFonts w:ascii="Times New Roman" w:hAnsi="Times New Roman" w:eastAsia="Lucida Sans Unicode"/>
      <w:kern w:val="2"/>
      <w:sz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pPr/>
    <w:rPr/>
  </w:style>
  <w:style w:type="paragraph" w:styleId="Style21">
    <w:name w:val="List"/>
    <w:basedOn w:val="Style20"/>
    <w:pPr/>
    <w:rPr>
      <w:rFonts w:ascii="Arial" w:hAnsi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25">
    <w:name w:val="Subtitle"/>
    <w:basedOn w:val="Caption"/>
    <w:qFormat/>
    <w:pPr>
      <w:jc w:val="center"/>
    </w:pPr>
    <w:rPr>
      <w:i/>
      <w:szCs w:val="28"/>
    </w:rPr>
  </w:style>
  <w:style w:type="paragraph" w:styleId="12" w:customStyle="1">
    <w:name w:val="Указатель1"/>
    <w:basedOn w:val="Normal"/>
    <w:qFormat/>
    <w:pPr>
      <w:suppressLineNumbers/>
    </w:pPr>
    <w:rPr>
      <w:rFonts w:ascii="Arial" w:hAnsi="Arial"/>
    </w:rPr>
  </w:style>
  <w:style w:type="paragraph" w:styleId="Style26" w:customStyle="1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pPr>
      <w:suppressLineNumbers/>
      <w:tabs>
        <w:tab w:val="clear" w:pos="720"/>
        <w:tab w:val="center" w:pos="5102" w:leader="none"/>
        <w:tab w:val="right" w:pos="10205" w:leader="none"/>
      </w:tabs>
    </w:pPr>
    <w:rPr>
      <w:rFonts w:cs="Times New Roman"/>
    </w:rPr>
  </w:style>
  <w:style w:type="paragraph" w:styleId="Style28" w:customStyle="1">
    <w:name w:val="Верхний колонтитул спра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9" w:customStyle="1">
    <w:name w:val="Верхний колонтитул сле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30" w:customStyle="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31">
    <w:name w:val="Body Text Indent"/>
    <w:basedOn w:val="Style20"/>
    <w:qFormat/>
    <w:pPr>
      <w:ind w:firstLine="709"/>
    </w:pPr>
    <w:rPr/>
  </w:style>
  <w:style w:type="paragraph" w:styleId="Style32" w:customStyle="1">
    <w:name w:val="Таблица"/>
    <w:basedOn w:val="Caption"/>
    <w:qFormat/>
    <w:pPr/>
    <w:rPr/>
  </w:style>
  <w:style w:type="paragraph" w:styleId="13" w:customStyle="1">
    <w:name w:val="Текст1"/>
    <w:basedOn w:val="Caption"/>
    <w:qFormat/>
    <w:pPr/>
    <w:rPr/>
  </w:style>
  <w:style w:type="paragraph" w:styleId="Style33" w:customStyle="1">
    <w:name w:val="Содержимое таблицы"/>
    <w:basedOn w:val="Normal"/>
    <w:qFormat/>
    <w:pPr>
      <w:suppressLineNumbers/>
    </w:pPr>
    <w:rPr/>
  </w:style>
  <w:style w:type="paragraph" w:styleId="Style34" w:customStyle="1">
    <w:name w:val="Текст шапки"/>
    <w:basedOn w:val="Style20"/>
    <w:qFormat/>
    <w:pPr>
      <w:jc w:val="center"/>
    </w:pPr>
    <w:rPr>
      <w:b/>
      <w:bCs/>
      <w:sz w:val="30"/>
      <w:szCs w:val="30"/>
    </w:rPr>
  </w:style>
  <w:style w:type="paragraph" w:styleId="Style35" w:customStyle="1">
    <w:name w:val="Подпись_дол+ФИО"/>
    <w:basedOn w:val="Style20"/>
    <w:qFormat/>
    <w:pPr>
      <w:tabs>
        <w:tab w:val="clear" w:pos="720"/>
        <w:tab w:val="right" w:pos="10035" w:leader="none"/>
      </w:tabs>
      <w:jc w:val="left"/>
    </w:pPr>
    <w:rPr/>
  </w:style>
  <w:style w:type="paragraph" w:styleId="Style36" w:customStyle="1">
    <w:name w:val="Содержимое врезки"/>
    <w:basedOn w:val="Style20"/>
    <w:qFormat/>
    <w:pPr/>
    <w:rPr/>
  </w:style>
  <w:style w:type="paragraph" w:styleId="Style37">
    <w:name w:val="Signature"/>
    <w:basedOn w:val="Style20"/>
    <w:pPr>
      <w:suppressLineNumbers/>
    </w:pPr>
    <w:rPr/>
  </w:style>
  <w:style w:type="paragraph" w:styleId="Style38" w:customStyle="1">
    <w:name w:val="ПодписьСогл_дол+ФИО"/>
    <w:basedOn w:val="Style35"/>
    <w:qFormat/>
    <w:pPr/>
    <w:rPr>
      <w:sz w:val="24"/>
    </w:rPr>
  </w:style>
  <w:style w:type="paragraph" w:styleId="Style39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Style40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Western" w:customStyle="1">
    <w:name w:val="western"/>
    <w:basedOn w:val="Normal"/>
    <w:qFormat/>
    <w:pPr>
      <w:widowControl/>
      <w:suppressAutoHyphens w:val="false"/>
      <w:spacing w:before="100" w:after="0"/>
    </w:pPr>
    <w:rPr>
      <w:rFonts w:eastAsia="Times New Roman" w:cs="Times New Roman"/>
      <w:kern w:val="0"/>
      <w:szCs w:val="28"/>
      <w:lang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4"/>
    </w:rPr>
  </w:style>
  <w:style w:type="paragraph" w:styleId="Style41" w:customStyle="1">
    <w:name w:val="Заголовок таблицы"/>
    <w:basedOn w:val="Style33"/>
    <w:qFormat/>
    <w:pPr>
      <w:jc w:val="center"/>
    </w:pPr>
    <w:rPr>
      <w:b/>
      <w:bCs/>
    </w:rPr>
  </w:style>
  <w:style w:type="paragraph" w:styleId="Style42">
    <w:name w:val="Footer"/>
    <w:basedOn w:val="Normal"/>
    <w:uiPriority w:val="99"/>
    <w:unhideWhenUsed/>
    <w:rsid w:val="000d5008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consultantplus://offline/ref=E7E22C217BD1DE39D094EB657F2DA97048B4D2C8B068F9E848C88761C5E61314C7FEBE17994CA0C72E44C13FF1A03EFC093DF374411A85A0z447G" TargetMode="External"/><Relationship Id="rId5" Type="http://schemas.openxmlformats.org/officeDocument/2006/relationships/hyperlink" Target="consultantplus://offline/ref=FBC00E3E104AEAACEE6EF427995E0597A1DB276C1CB0DEE558C390B7A64102216BB3B30109ABAD4DDAB133B8F62129C1FFE5FAA326219E9C8A14F274x5bBI" TargetMode="External"/><Relationship Id="rId6" Type="http://schemas.openxmlformats.org/officeDocument/2006/relationships/hyperlink" Target="consultantplus://offline/ref=FBC00E3E104AEAACEE6EF427995E0597A1DB276C1CB0D3E65ECD90B7A64102216BB3B30109ABAD4DDAB132B7F42129C1FFE5FAA326219E9C8A14F274x5bBI" TargetMode="Externa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Application>LibreOffice/6.4.7.2$Linux_X86_64 LibreOffice_project/40$Build-2</Application>
  <Pages>5</Pages>
  <Words>1468</Words>
  <Characters>10684</Characters>
  <CharactersWithSpaces>12084</CharactersWithSpaces>
  <Paragraphs>77</Paragraphs>
  <Company>КонсультантПлюс Версия 4017.00.96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2022-03-31T12:16:00Z</dcterms:created>
  <dc:creator>IvanovaNV</dc:creator>
  <dc:description/>
  <dc:language>ru-RU</dc:language>
  <cp:lastModifiedBy/>
  <cp:lastPrinted>2019-12-06T14:46:00Z</cp:lastPrinted>
  <dcterms:modified xsi:type="dcterms:W3CDTF">2022-04-04T17:22:22Z</dcterms:modified>
  <cp:revision>26</cp:revision>
  <dc:subject/>
  <dc:title>Список документов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4017.00.96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