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9"/>
        <w:suppressAutoHyphens w:val="true"/>
        <w:rPr>
          <w:rFonts w:ascii="PT Astra Serif" w:hAnsi="PT Astra Serif"/>
        </w:rPr>
      </w:pPr>
      <w:r>
        <w:rPr>
          <w:rFonts w:ascii="PT Astra Serif" w:hAnsi="PT Astra Serif"/>
        </w:rPr>
        <w:t>ДЕПАРТАМЕНТ ВЕТЕРИНАРИИ</w:t>
        <w:br/>
        <w:t>ТОМСКОЙ ОБЛАСТИ</w:t>
        <w:br/>
        <w:br/>
        <w:t>РАСПОРЯЖЕНИЕ</w:t>
      </w:r>
    </w:p>
    <w:p>
      <w:pPr>
        <w:pStyle w:val="Normal"/>
        <w:tabs>
          <w:tab w:val="clear" w:pos="327"/>
          <w:tab w:val="right" w:pos="9930" w:leader="none"/>
        </w:tabs>
        <w:suppressAutoHyphens w:val="true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tabs>
          <w:tab w:val="clear" w:pos="327"/>
          <w:tab w:val="right" w:pos="9930" w:leader="none"/>
        </w:tabs>
        <w:suppressAutoHyphens w:val="true"/>
        <w:rPr>
          <w:rFonts w:ascii="PT Astra Serif" w:hAnsi="PT Astra Serif"/>
        </w:rPr>
      </w:pPr>
      <w:r>
        <w:rPr>
          <w:rFonts w:ascii="PT Astra Serif" w:hAnsi="PT Astra Serif"/>
        </w:rPr>
      </w:r>
    </w:p>
    <w:tbl>
      <w:tblPr>
        <w:tblW w:w="93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noVBand="0" w:noHBand="0" w:lastColumn="0" w:firstColumn="0" w:lastRow="0" w:firstRow="0"/>
      </w:tblPr>
      <w:tblGrid>
        <w:gridCol w:w="2804"/>
        <w:gridCol w:w="5275"/>
        <w:gridCol w:w="567"/>
        <w:gridCol w:w="709"/>
      </w:tblGrid>
      <w:tr>
        <w:trPr/>
        <w:tc>
          <w:tcPr>
            <w:tcW w:w="2804" w:type="dxa"/>
            <w:tcBorders/>
            <w:shd w:color="auto" w:fill="auto" w:val="clear"/>
          </w:tcPr>
          <w:p>
            <w:pPr>
              <w:pStyle w:val="Style28"/>
              <w:suppressAutoHyphens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12.01.2021</w:t>
            </w:r>
          </w:p>
        </w:tc>
        <w:tc>
          <w:tcPr>
            <w:tcW w:w="5275" w:type="dxa"/>
            <w:tcBorders/>
            <w:shd w:color="auto" w:fill="auto" w:val="clear"/>
          </w:tcPr>
          <w:p>
            <w:pPr>
              <w:pStyle w:val="Style28"/>
              <w:suppressAutoHyphens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</w:tc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tabs>
                <w:tab w:val="clear" w:pos="327"/>
                <w:tab w:val="right" w:pos="9930" w:leader="none"/>
              </w:tabs>
              <w:suppressAutoHyphens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</w:p>
        </w:tc>
        <w:tc>
          <w:tcPr>
            <w:tcW w:w="709" w:type="dxa"/>
            <w:tcBorders/>
            <w:shd w:color="auto" w:fill="auto" w:val="clear"/>
          </w:tcPr>
          <w:p>
            <w:pPr>
              <w:pStyle w:val="Style28"/>
              <w:suppressAutoHyphens w:val="true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1/3</w:t>
            </w:r>
          </w:p>
        </w:tc>
      </w:tr>
      <w:tr>
        <w:trPr>
          <w:trHeight w:val="888" w:hRule="atLeast"/>
        </w:trPr>
        <w:tc>
          <w:tcPr>
            <w:tcW w:w="9355" w:type="dxa"/>
            <w:gridSpan w:val="4"/>
            <w:tcBorders/>
            <w:shd w:color="auto" w:fill="auto" w:val="clear"/>
          </w:tcPr>
          <w:p>
            <w:pPr>
              <w:pStyle w:val="Style28"/>
              <w:suppressAutoHyphens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</w:tc>
      </w:tr>
      <w:tr>
        <w:trPr/>
        <w:tc>
          <w:tcPr>
            <w:tcW w:w="9355" w:type="dxa"/>
            <w:gridSpan w:val="4"/>
            <w:tcBorders/>
            <w:shd w:color="auto" w:fill="auto" w:val="clear"/>
          </w:tcPr>
          <w:p>
            <w:pPr>
              <w:pStyle w:val="Style28"/>
              <w:suppressAutoHyphens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 утверждении порядка осуществления </w:t>
            </w:r>
            <w:r>
              <w:rPr>
                <w:rFonts w:eastAsia="Arial" w:cs="Arial" w:ascii="PT Astra Serif" w:hAnsi="PT Astra Serif"/>
                <w:szCs w:val="20"/>
              </w:rPr>
              <w:t>контроля за выполнением государственного задания областными государственными бюджетными учреждениями, в отношении которых Департамент ветеринарии Томской области осуществляет функции и полномочия учредителя</w:t>
            </w:r>
            <w:bookmarkStart w:id="0" w:name="_GoBack"/>
            <w:bookmarkEnd w:id="0"/>
          </w:p>
        </w:tc>
      </w:tr>
    </w:tbl>
    <w:p>
      <w:pPr>
        <w:pStyle w:val="Normal"/>
        <w:suppressAutoHyphens w:val="true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widowControl/>
        <w:suppressAutoHyphens w:val="true"/>
        <w:ind w:firstLine="709"/>
        <w:rPr>
          <w:rFonts w:ascii="PT Astra Serif" w:hAnsi="PT Astra Serif"/>
        </w:rPr>
      </w:pPr>
      <w:r>
        <w:rPr>
          <w:rFonts w:eastAsia="Arial" w:cs="Arial" w:ascii="PT Astra Serif" w:hAnsi="PT Astra Serif"/>
          <w:szCs w:val="20"/>
        </w:rPr>
        <w:t xml:space="preserve">В соответствии </w:t>
      </w: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 xml:space="preserve">постановлением Администрации Томской области от 14.10.2015 № 375а «Об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учреждениями», </w:t>
      </w:r>
      <w:r>
        <w:rPr>
          <w:rFonts w:eastAsia="Arial" w:cs="Arial" w:ascii="PT Astra Serif" w:hAnsi="PT Astra Serif"/>
          <w:szCs w:val="20"/>
        </w:rPr>
        <w:t xml:space="preserve">на </w:t>
      </w:r>
      <w:r>
        <w:rPr>
          <w:rFonts w:ascii="PT Astra Serif" w:hAnsi="PT Astra Serif"/>
        </w:rPr>
        <w:t>основании пункта 12 П</w:t>
      </w:r>
      <w:r>
        <w:rPr>
          <w:rFonts w:eastAsia="Arial" w:cs="Arial" w:ascii="PT Astra Serif" w:hAnsi="PT Astra Serif"/>
          <w:szCs w:val="20"/>
        </w:rPr>
        <w:t>оложения о Департаменте ветеринарии Томской области, утвержденного</w:t>
      </w:r>
      <w:r>
        <w:rPr>
          <w:rFonts w:eastAsia="Arial" w:cs="Arial" w:ascii="PT Astra Serif" w:hAnsi="PT Astra Serif"/>
          <w:b/>
          <w:bCs/>
          <w:szCs w:val="20"/>
        </w:rPr>
        <w:t xml:space="preserve"> </w:t>
      </w:r>
      <w:r>
        <w:rPr>
          <w:rFonts w:ascii="PT Astra Serif" w:hAnsi="PT Astra Serif"/>
        </w:rPr>
        <w:t xml:space="preserve">постановление Губернатора Томской области от 11 сентября 2018 г. № 83, 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eastAsia="Arial" w:cs="Arial" w:ascii="PT Astra Serif" w:hAnsi="PT Astra Serif"/>
          <w:szCs w:val="20"/>
        </w:rPr>
        <w:t>1. Утвердить Порядок осуществления контроля за выполнением государственного задания областными государственными бюджетными учреждениями, в отношении которых Департамент ветеринарии Томской области осуществляет функции и полномочия учредителя, согласно приложению к настоящему распоряжению.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2. Контроль за исполнением распоряжения оставляю за собой.</w:t>
      </w:r>
    </w:p>
    <w:p>
      <w:pPr>
        <w:pStyle w:val="BodyTextIndent"/>
        <w:suppressAutoHyphens w:val="true"/>
        <w:ind w:left="-15" w:firstLine="84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BodyTextIndent"/>
        <w:suppressAutoHyphens w:val="true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BodyTextIndent"/>
        <w:suppressAutoHyphens w:val="true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BodyTextIndent"/>
        <w:suppressAutoHyphens w:val="true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BodyTextIndent"/>
        <w:suppressAutoHyphens w:val="true"/>
        <w:ind w:hanging="0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Начальник департамента </w:t>
        <w:tab/>
        <w:tab/>
        <w:tab/>
        <w:tab/>
        <w:tab/>
        <w:tab/>
        <w:tab/>
        <w:tab/>
        <w:tab/>
        <w:tab/>
        <w:tab/>
        <w:tab/>
        <w:tab/>
        <w:tab/>
        <w:t>В.В.Табакаев</w:t>
      </w:r>
    </w:p>
    <w:p>
      <w:pPr>
        <w:pStyle w:val="BodyTextIndent"/>
        <w:suppressAutoHyphens w:val="true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BodyTextIndent"/>
        <w:suppressAutoHyphens w:val="true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BodyTextIndent"/>
        <w:suppressAutoHyphens w:val="true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BodyTextIndent"/>
        <w:suppressAutoHyphens w:val="true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BodyTextIndent"/>
        <w:suppressAutoHyphens w:val="true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BodyTextIndent"/>
        <w:suppressAutoHyphens w:val="true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Western"/>
        <w:suppressAutoHyphens w:val="true"/>
        <w:spacing w:beforeAutospacing="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Western"/>
        <w:suppressAutoHyphens w:val="true"/>
        <w:spacing w:beforeAutospacing="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Western"/>
        <w:suppressAutoHyphens w:val="true"/>
        <w:spacing w:beforeAutospacing="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Western"/>
        <w:suppressAutoHyphens w:val="true"/>
        <w:spacing w:beforeAutospacing="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Western"/>
        <w:suppressAutoHyphens w:val="true"/>
        <w:spacing w:beforeAutospacing="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Western"/>
        <w:suppressAutoHyphens w:val="true"/>
        <w:spacing w:beforeAutospacing="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uppressAutoHyphens w:val="true"/>
        <w:ind w:left="5387" w:hanging="0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Приложение </w:t>
      </w:r>
    </w:p>
    <w:p>
      <w:pPr>
        <w:pStyle w:val="Normal"/>
        <w:suppressAutoHyphens w:val="true"/>
        <w:ind w:left="5387" w:hanging="0"/>
        <w:jc w:val="left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к распоряжению Департамента ветеринарии Томской области </w:t>
      </w:r>
    </w:p>
    <w:p>
      <w:pPr>
        <w:pStyle w:val="Normal"/>
        <w:suppressAutoHyphens w:val="true"/>
        <w:ind w:left="5387" w:hanging="0"/>
        <w:rPr/>
      </w:pPr>
      <w:r>
        <w:rPr>
          <w:rFonts w:ascii="PT Astra Serif" w:hAnsi="PT Astra Serif"/>
          <w:szCs w:val="28"/>
        </w:rPr>
        <w:t xml:space="preserve">от </w:t>
      </w:r>
      <w:r>
        <w:rPr>
          <w:rFonts w:eastAsia="Lucida Sans Unicode" w:cs="Mangal" w:ascii="PT Astra Serif" w:hAnsi="PT Astra Serif"/>
          <w:kern w:val="2"/>
          <w:sz w:val="28"/>
          <w:szCs w:val="28"/>
          <w:lang w:eastAsia="zh-CN" w:bidi="hi-IN"/>
        </w:rPr>
        <w:t xml:space="preserve">12.01.2021 </w:t>
      </w:r>
      <w:r>
        <w:rPr>
          <w:rFonts w:ascii="PT Astra Serif" w:hAnsi="PT Astra Serif"/>
          <w:szCs w:val="28"/>
        </w:rPr>
        <w:t xml:space="preserve">№ </w:t>
      </w:r>
      <w:r>
        <w:rPr>
          <w:rFonts w:eastAsia="Lucida Sans Unicode" w:cs="Mangal" w:ascii="PT Astra Serif" w:hAnsi="PT Astra Serif"/>
          <w:kern w:val="2"/>
          <w:sz w:val="28"/>
          <w:szCs w:val="28"/>
          <w:lang w:eastAsia="zh-CN" w:bidi="hi-IN"/>
        </w:rPr>
        <w:t>1/3</w:t>
      </w:r>
    </w:p>
    <w:p>
      <w:pPr>
        <w:pStyle w:val="Normal"/>
        <w:suppressAutoHyphens w:val="true"/>
        <w:ind w:left="5387" w:hanging="0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Normal"/>
        <w:suppressAutoHyphens w:val="true"/>
        <w:ind w:left="5387" w:hanging="0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Normal"/>
        <w:suppressAutoHyphens w:val="true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ПОРЯДОК</w:t>
      </w:r>
    </w:p>
    <w:p>
      <w:pPr>
        <w:pStyle w:val="Normal"/>
        <w:suppressAutoHyphens w:val="true"/>
        <w:jc w:val="center"/>
        <w:rPr>
          <w:rFonts w:ascii="PT Astra Serif" w:hAnsi="PT Astra Serif"/>
        </w:rPr>
      </w:pPr>
      <w:r>
        <w:rPr>
          <w:rFonts w:eastAsia="Arial" w:cs="Arial" w:ascii="PT Astra Serif" w:hAnsi="PT Astra Serif"/>
          <w:szCs w:val="20"/>
        </w:rPr>
        <w:t>осуществления контроля за выполнением государственного задания</w:t>
        <w:br/>
        <w:t>областными государственными бюджетными учреждениями, в отношении которых Департамент ветеринарии Томской области осуществляет функции и полномочия учредителя</w:t>
      </w:r>
    </w:p>
    <w:p>
      <w:pPr>
        <w:pStyle w:val="Normal"/>
        <w:suppressAutoHyphens w:val="true"/>
        <w:ind w:left="-709" w:hanging="0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Normal"/>
        <w:suppressAutoHyphens w:val="true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Общие положения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1. Настоящий Порядок определяет механизм осуществления контроля за выполнением государственного задания по оказанию (выполнению) государственных услуг (работ) областными государственными бюджетными учреждениями (далее — учреждения)</w:t>
      </w:r>
      <w:r>
        <w:rPr>
          <w:rFonts w:eastAsia="Arial" w:cs="Arial" w:ascii="PT Astra Serif" w:hAnsi="PT Astra Serif"/>
          <w:szCs w:val="20"/>
        </w:rPr>
        <w:t xml:space="preserve">, в отношении которых Департамент ветеринарии Томской области осуществляет функции и полномочия учредителя </w:t>
      </w:r>
      <w:r>
        <w:rPr>
          <w:rFonts w:ascii="PT Astra Serif" w:hAnsi="PT Astra Serif"/>
          <w:szCs w:val="28"/>
        </w:rPr>
        <w:t>(далее — Департамент).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2. Предметом контроля является деятельность учреждений в части выполнения плановых показателей, характеризующих объем и качество оказываемых (выполняемых) государственных услуг (работ) (далее – показателей).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3. Целью осуществления контроля является подтверждение факта исполнения государственного задания в части оказания (выполнения) государственных услуг (работ), подтверждение соответствия объема предоставленных государственных услуг (работ) параметрам государственного задания.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4. Основными задачами контроля являются: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подтверждение достоверности выполнения государственного задания;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определение соответствия фактических значений показателей плановым значениям показателей, установленным в государственном задании;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анализ причин отклонения фактического объема государственных услуг (работ), оказанных (выполненных) учреждением, от плановых значений показателей, установленных в государственном задании;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своевременное изменение плановых значений показателей;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принятие мер по обеспечению выполнения установленных показателей.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5. Контроль за выполнением государственного задания осуществляется посредством проведения: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текущего мониторинга выполнения государственного задания;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ежегодного мониторинга выполнения государственного задания;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- выездных проверок. 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6. Текущий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Cs w:val="28"/>
        </w:rPr>
        <w:t xml:space="preserve">мониторинг выполнения государственного задания осуществляется путем анализа: 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отчетов о выполнении государственного задания за 3, 6 и 9 месяцев, предоставляемых учреждениями по форме, согласно приложению к настоящему порядку;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предварительных отчетов об исполнении государственного задания за год.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Данные текущего мониторинга используются Департаментом при проведении оценки необходимости внесения изменений в плановые объемы показателей государственного задания на текущий финансовый год.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7. Ежегодный мониторинг осуществляется путем утверждения годового отчета об исполнении государственного задания за год, в соответствии с правилами, установленными пунктом 9 порядка формирования государственного задания в отношении областных государственных учреждений, утвержденного постановлением Администрации Томской области от 14.10.2015 № 375а </w:t>
      </w: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«Об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учреждениями» (далее – постановление № 375а)</w:t>
      </w:r>
      <w:r>
        <w:rPr>
          <w:rFonts w:ascii="PT Astra Serif" w:hAnsi="PT Astra Serif"/>
          <w:szCs w:val="28"/>
        </w:rPr>
        <w:t>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Данные годового отчета используются Департаментом при проведении оценки потребности в предоставлении государственных услуг (работ), оказываемых (выполняемых) учреждениями, на очередной финансовый год и плановый период.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8. Выездная проверка проводиться в составе ведомственной комплексной проверки эффективности финансово-хозяйственной деятельности учреждений.</w:t>
      </w:r>
    </w:p>
    <w:p>
      <w:pPr>
        <w:pStyle w:val="Normal"/>
        <w:suppressAutoHyphens w:val="true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Normal"/>
        <w:suppressAutoHyphens w:val="true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Камеральная проверка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9. Текущий и ежегодный мониторинг осуществляются в форме камеральной проверки.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10. Камеральная проверка исполнения государственного задания осуществляется должностными лицами финансово-экономического комитета Департамента, в должностные обязанности которого входит осуществление камеральной проверки.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11. Камеральная проверки проводится в течение пяти рабочих дней, со дня получения от учреждений документов, указанных в пункте 6 настоящего порядка.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12. Камеральная проверка проводиться путем форматно-логического контроля сопоставимости показателей по внутридокументным и междокументным контрольным соотношением данных, отраженных в отчетах, сверки с данными иной статистической отчетности, анализа рисков не выполнения государственного задания за год, соблюдения сроков представления отчетов и порядка заполнения форм отчетов.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13. Отчеты о выполнении государственного задания за 3, 6 и 9 месяцев заполняются нарастающим итогом и представляются ежеквартально в Департамент на бумажном носителе и в электронном виде (в форме таблиц Excel) после согласования с должностным лицом комитета государственного надзора и контроля Департамента, курирующего деятельность учреждения, сопроводительным письмом, в срок до 10 числа месяца, следующего за отчетным кварталом, по форме, согласно приложению №1 к настоящему порядку.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14. Фактические значения показателя, характеризующего объем государственной услуги (работы) и причин невыполнения плановых показателей, с учетом допустимых отклонений, в пределах которого государственное задание считается выполненным, заполняются руководителем учреждения.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15. Фактические значения показателя, характеризующего качество государственной услуги (работы) и причин его невыполнения, заполняются должностным лицом комитета государственного надзора Департамента, контролирующий деятельность учреждения, при этом: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1) при оценке показателя качества работы «Ветеринарные обследования объектов, связанных с содержанием животных, переработкой, хранением и реализацией продукции и сырья животного происхождения»: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оценивается охват объектов обследованиями на территории Томской области;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критерием оценки является процентное соотношение фактического охвата обследованиями объектов к плановому значению.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2) при оценке показателя качества работы «Плановые профилактические вакцинации животных (птиц) против особо опасных болезней животных и болезней, общих для человека и животных (птиц)»: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показателем оценки качества работы является охват поголовья животных иммунизацией против природно-очаговых особо опасных болезней и особо опасных болезней, по которым Томская область является стационарно неблагополучной;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критерием оценки является процентное соотношение фактического охвата поголовья животных иммунизацией против особо-опасных болезней к плановому значению.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3) при оценке показателя качества работы «Диагностические мероприятия по предупреждению заразных и иных болезней животных»: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показателем оценки качества работы является отсутствие случаев возникновения очагов заразных болезней животных, подвергнутых диагностическим мероприятиям;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критерием оценки является отсутствие случаев возникновения очагов заболевания туберкулезом и гиподерматозом среди животных, подвергнутых диагностическим мероприятиям на территории Томской области (выявление случая возникновения очага является 100% невыполнением показателя, характеризующего качество государственной работы).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4) при оценке показателя качества работы «Отбор проб в рамках проведения противоэпизоотических мероприятий и мероприятий по обеспечению безопасности в ветеринарном отношении продуктов животноводства на территории Томской области»: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показателем оценки качества работы является доля отобранных проб, принятых к лабораторному исследованию;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критерием оценки является процентное соотношение проб, принятых к лабораторному исследованию в общем объеме отобранных проб.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5) при оценке показателя качества работы «Лабораторные исследования в рамках проведения противоэпизоотических мероприятий и мероприятий по обеспечению безопасности в ветеринарном отношении продуктов животноводства на территории Томской области»: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показателем оценки качества работы является доля удовлетворительных результатов при проведении сличительных испытаний;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критерием оценки является процентное соотношение удовлетворительных результатов в общем объеме проведенных сличительных испытаний (отрицательный результат сличительных испытаний является 100% невыполнением показателя, характеризующего качество государственной работы).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6) при оценке показателя качества работы «Ветеринарно-санитарные мероприятия по предупреждению заразных и иных болезней животных»: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показателем оценки качества работы является соблюдение ветеринарно-санитарных правил сбора, утилизации и уничтожения биологических отходов;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критерием оценки является соблюдение ветеринарно-санитарных правил сбора, утилизации и уничтожения биологических отходов.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Cs w:val="28"/>
        </w:rPr>
        <w:t>(наличие факта нарушения правил является 100% невыполнением показателя, характеризующего качество государственной работы)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7) при оценке показателя качества работы «Мероприятия по обеспечению ветеринарно-санитарной безопасности и прослеживаемости подконтрольных товаров, подтверждение эпизоотического благополучия территорий»: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показателем оценки качества работы является соблюдение обязательных ветеринарных правил и мер при обеспечении ветеринарно-санитарных безопасности подконтрольных товаров;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критерием оценки является соблюдение обязательных ветеринарных правил и мер при обеспечении ветеринарно-санитарных безопасности подконтрольных товаров. (наличие факта нарушения правил является 100% невыполнением показателя, характеризующего качество государственной работы).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16. Предварительный отчет об исполнении государственного задания за год представляется в Департамент на бумажном носителе и в электронном виде (в форме таблиц Excel) после согласования с должностным лицом комитета государственного надзора Департамента, курирующего деятельность учреждения, сопроводительным письмом,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Cs w:val="28"/>
        </w:rPr>
        <w:t xml:space="preserve">в срок до 20 ноября текущего финансового года, по форме годового отчета об исполнении государственного задания, исходя из фактических данных об исполнении государственного задания по итогам десяти месяцев и ожидаемого исполнения за год. 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17. Годовой отчет об исполнении государственного задания представляется в Департамент на бумажном носителе и в электронном виде (в форме таблиц Excel) после согласования с должностным лицом комитета государственного надзора Департамента, курирующего деятельность учреждения, сопроводительным письмом,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Cs w:val="28"/>
        </w:rPr>
        <w:t>ежеквартально, в срок до 20 января года, следующего за отчетным, по форме</w:t>
      </w:r>
      <w:r>
        <w:rPr>
          <w:rFonts w:ascii="PT Astra Serif" w:hAnsi="PT Astra Serif"/>
        </w:rPr>
        <w:t xml:space="preserve">, </w:t>
      </w:r>
      <w:r>
        <w:rPr>
          <w:rFonts w:ascii="PT Astra Serif" w:hAnsi="PT Astra Serif"/>
          <w:szCs w:val="28"/>
        </w:rPr>
        <w:t>утвержденной постановлением № 375а.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18. При выявлении в ходе камеральной проверки по результатам арифметического и форматно-логической контроля в форме таблиц Excel по контрольным соотношениям ошибок и (или) несоответствия сведений, полученных по результатам текущего и ежегодного мониторинга, а так же противоречия между сведениями, содержащимися в иных представленных документах,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Cs w:val="28"/>
        </w:rPr>
        <w:t xml:space="preserve">отчеты возвращаются учреждению на доработку. 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19. В форму таблиц отчетов, указанных в пунктах 6, 7 настоящего порядка (далее - отчеты), допустимо вносить информацию о проведенных мероприятиях форматно-логического контроля, в связи с выявленными расхождениями (несоответствиями).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20. Доработанный учреждением отчет принимается Департаментом к повторному рассмотрению не позднее 3-х дней с момента получения заключения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Cs w:val="28"/>
        </w:rPr>
        <w:t>о проведенных мероприятиях форматно-логического контроля, с пояснительной запиской о причинах обоснованных расхождений, после чего составляется акт камеральной проверки с решением о принятии (не принятии) к утверждению отчета.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21. Документы, указанные в пунктах 6, 7 настоящего порядка, согласовываются заместителем начальника Департамента, председателем комитета организации ветеринарной деятельности, утверждаются начальником Департамента.</w:t>
      </w:r>
    </w:p>
    <w:p>
      <w:pPr>
        <w:pStyle w:val="Normal"/>
        <w:suppressAutoHyphens w:val="true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Normal"/>
        <w:suppressAutoHyphens w:val="true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Выездная проверка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22. Выездная проверка выполнения государственного задания (далее - проверка) осуществляется в соответствии с планом ведомственных комплексных проверок, утвержденным распоряжением Департамента. 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23. Проверка проводится должностными лицами комитета государственного надзора и контроля по места нахождения учреждения. 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24. Проверка проводится путем сопоставления данных отчета об исполнении государственного задания за проверяемый год с первичной документацией, подтверждающей факт оказания (выполнения) государственной услуги (работы) за проверяемый период.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25. Проверка достижений показателей объема исполнения государственного задания включает: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проверку наличия первичной документации, подтверждающей объем и факт проведения государственной услуги (работы);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сопоставление данных с оперативной, ведомственной и статистической отчетностью, предоставляемой в Департамент;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анализ причин (факторов) возникновения не соответствия фактического объема от значений показателей объема и качества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Cs w:val="28"/>
        </w:rPr>
        <w:t>оказанных (выполненных) государственных услуг (работ), отраженные в отчетах за проверяемый период.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26. Проводящие проверку должностные лица Департамента имеют право на: 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- беспрепятственный доступ на территорию, в помещение, здание проверяемого учреждения, фотосъемку, видеозапись, копирование документов; 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истребование необходимых для проведения проверки документов и информации;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получение объяснений (пояснений) в устной и письменной форме, в форме электронного документа по вопросам проводимой проверки.</w:t>
      </w:r>
    </w:p>
    <w:p>
      <w:pPr>
        <w:pStyle w:val="Normal"/>
        <w:suppressAutoHyphens w:val="true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Normal"/>
        <w:suppressAutoHyphens w:val="true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Результаты контроля за выполнение государственного задания 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27. По результатам камеральной проверки выполнения государственного задания составляется акт камеральной проверки исполнения государственного задания (далее - акт проверки),за соответствующий период, в котором указываются: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- обоснованные отклонения от плановых показателей, 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- риски невыполнения государственного задания или перевыполнения плановых значений показателей (с учетом допустимых отклонений, при котором государственное задание считается выполненным (перевыполненным)), 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- нарушения сроков представления отчетов, 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- нарушения правил заполнения форм отчетов, 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объяснения (пояснения) должностных лиц учреждения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 иные материалы.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28. По результатам проведения выездной проверки выполнения государственного задания составляется акт проверки исполнения государственного задания (далее - акт проверки) к которому прикладываются подтверждающие документы (копии документов на бумажных носителях и (или) в электронном виде), объяснения (пояснения) должностных лиц учреждения, иные материалы.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29. По результатам контроля за выполнением государственного задания производится: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уточнение государственного задания и размера субсидии, в случае если показатели объема, указанные в предварительном отчете об исполнении государственного задания за год, меньше показателей, установленных в государственном задании (с учетом допустимых отклонений, при котором государственное задание считается выполненным);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возврат средств субсидии в соответствии с бюджетным законодательством Российской Федерации, в случае если показатели объема, указанные в отчете об исполнении государственного задания за год, меньше показателей, установленных в государственном задании (с учетом допустимых отклонений, при котором государственное задание считается выполненным), в объеме, соответствующем показателям, характеризующим объем не оказанной государственной услуги (не выполненной работы);</w:t>
      </w:r>
    </w:p>
    <w:p>
      <w:p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формирование и финансовое обеспечение выполнения учреждением государственного задания на очередной финансовый год и плановый период с учетом показателей отчетов о выполнении государственного задания учреждением и результатов проверок выполнения государственного задания;</w:t>
      </w:r>
    </w:p>
    <w:p>
      <w:pPr>
        <w:sectPr>
          <w:headerReference w:type="default" r:id="rId2"/>
          <w:type w:val="nextPage"/>
          <w:pgSz w:w="11906" w:h="16838"/>
          <w:pgMar w:left="1701" w:right="850" w:header="708" w:top="851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Normal"/>
        <w:suppressAutoHyphens w:val="true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- применение к руководителю учреждения дисциплинарного взыскания в порядке, установленном трудовым законодательством Российской Федерации.12</w:t>
      </w:r>
    </w:p>
    <w:p>
      <w:pPr>
        <w:pStyle w:val="ConsPlusNormal"/>
        <w:numPr>
          <w:ilvl w:val="0"/>
          <w:numId w:val="0"/>
        </w:numPr>
        <w:suppressAutoHyphens w:val="true"/>
        <w:ind w:left="11339" w:right="0" w:hanging="0"/>
        <w:jc w:val="right"/>
        <w:outlineLvl w:val="1"/>
        <w:rPr/>
      </w:pPr>
      <w:r>
        <w:rPr>
          <w:rFonts w:cs="Times New Roman" w:ascii="PT Astra Serif" w:hAnsi="PT Astra Serif"/>
        </w:rPr>
        <w:t>Приложение №1</w:t>
      </w:r>
    </w:p>
    <w:p>
      <w:pPr>
        <w:pStyle w:val="ConsPlusNormal"/>
        <w:suppressAutoHyphens w:val="true"/>
        <w:ind w:left="11339" w:right="0" w:hanging="0"/>
        <w:jc w:val="right"/>
        <w:rPr/>
      </w:pPr>
      <w:r>
        <w:rPr>
          <w:rFonts w:cs="Times New Roman" w:ascii="PT Astra Serif" w:hAnsi="PT Astra Serif"/>
        </w:rPr>
        <w:t xml:space="preserve">к Порядку осуществления </w:t>
      </w:r>
    </w:p>
    <w:p>
      <w:pPr>
        <w:pStyle w:val="ConsPlusNormal"/>
        <w:suppressAutoHyphens w:val="true"/>
        <w:ind w:left="11339" w:right="0" w:hanging="0"/>
        <w:jc w:val="right"/>
        <w:rPr/>
      </w:pPr>
      <w:r>
        <w:rPr>
          <w:rFonts w:cs="Times New Roman" w:ascii="PT Astra Serif" w:hAnsi="PT Astra Serif"/>
        </w:rPr>
        <w:t xml:space="preserve">контроля за выполнением </w:t>
      </w:r>
    </w:p>
    <w:p>
      <w:pPr>
        <w:pStyle w:val="ConsPlusNormal"/>
        <w:suppressAutoHyphens w:val="true"/>
        <w:ind w:left="11339" w:right="0" w:hanging="0"/>
        <w:jc w:val="right"/>
        <w:rPr/>
      </w:pPr>
      <w:r>
        <w:rPr>
          <w:rFonts w:cs="Times New Roman" w:ascii="PT Astra Serif" w:hAnsi="PT Astra Serif"/>
        </w:rPr>
        <w:t>государственного задания</w:t>
      </w:r>
    </w:p>
    <w:p>
      <w:pPr>
        <w:pStyle w:val="ConsPlusNonformat"/>
        <w:suppressAutoHyphens w:val="true"/>
        <w:ind w:left="0" w:right="0" w:hanging="0"/>
        <w:jc w:val="left"/>
        <w:rPr/>
      </w:pPr>
      <w:r>
        <w:rPr>
          <w:rFonts w:cs="Times New Roman" w:ascii="PT Astra Serif" w:hAnsi="PT Astra Serif"/>
        </w:rPr>
        <w:t>Форма</w:t>
      </w:r>
    </w:p>
    <w:p>
      <w:pPr>
        <w:pStyle w:val="ConsPlusNonformat"/>
        <w:suppressAutoHyphens w:val="true"/>
        <w:ind w:left="11339" w:right="0" w:hanging="0"/>
        <w:jc w:val="left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ind w:left="11339" w:right="0" w:hanging="0"/>
        <w:jc w:val="center"/>
        <w:rPr/>
      </w:pPr>
      <w:r>
        <w:rPr>
          <w:rFonts w:cs="Times New Roman" w:ascii="PT Astra Serif" w:hAnsi="PT Astra Serif"/>
        </w:rPr>
        <w:t>УТВЕРЖДАЮ</w:t>
      </w:r>
    </w:p>
    <w:p>
      <w:pPr>
        <w:pStyle w:val="ConsPlusNonformat"/>
        <w:suppressAutoHyphens w:val="true"/>
        <w:ind w:left="11339" w:right="0" w:hanging="0"/>
        <w:jc w:val="left"/>
        <w:rPr/>
      </w:pPr>
      <w:r>
        <w:rPr>
          <w:rFonts w:cs="Times New Roman" w:ascii="PT Astra Serif" w:hAnsi="PT Astra Serif"/>
        </w:rPr>
        <w:t>________________________________</w:t>
      </w:r>
    </w:p>
    <w:p>
      <w:pPr>
        <w:pStyle w:val="ConsPlusNonformat"/>
        <w:suppressAutoHyphens w:val="true"/>
        <w:ind w:left="11339" w:right="0" w:hanging="0"/>
        <w:jc w:val="left"/>
        <w:rPr>
          <w:rFonts w:ascii="PT Astra Serif" w:hAnsi="PT Astra Serif" w:cs="Times New Roman"/>
        </w:rPr>
      </w:pPr>
      <w:r>
        <w:rPr/>
      </w:r>
    </w:p>
    <w:p>
      <w:pPr>
        <w:pStyle w:val="ConsPlusNonformat"/>
        <w:suppressAutoHyphens w:val="true"/>
        <w:ind w:left="11339" w:right="0" w:hanging="0"/>
        <w:jc w:val="left"/>
        <w:rPr/>
      </w:pPr>
      <w:r>
        <w:rPr>
          <w:rFonts w:cs="Times New Roman" w:ascii="PT Astra Serif" w:hAnsi="PT Astra Serif"/>
        </w:rPr>
        <w:t>(Должность, фамилия, имя, отчество</w:t>
      </w:r>
    </w:p>
    <w:p>
      <w:pPr>
        <w:pStyle w:val="ConsPlusNonformat"/>
        <w:suppressAutoHyphens w:val="true"/>
        <w:ind w:left="11339" w:right="0" w:hanging="0"/>
        <w:jc w:val="left"/>
        <w:rPr/>
      </w:pPr>
      <w:r>
        <w:rPr>
          <w:rFonts w:cs="Times New Roman" w:ascii="PT Astra Serif" w:hAnsi="PT Astra Serif"/>
        </w:rPr>
        <w:t>(последнее - при наличии) и подпись руководителя исполнительного</w:t>
      </w:r>
    </w:p>
    <w:p>
      <w:pPr>
        <w:pStyle w:val="ConsPlusNonformat"/>
        <w:suppressAutoHyphens w:val="true"/>
        <w:ind w:left="11339" w:right="0" w:hanging="0"/>
        <w:jc w:val="left"/>
        <w:rPr/>
      </w:pPr>
      <w:r>
        <w:rPr>
          <w:rFonts w:cs="Times New Roman" w:ascii="PT Astra Serif" w:hAnsi="PT Astra Serif"/>
        </w:rPr>
        <w:t>органа государственной власти Томской</w:t>
      </w:r>
    </w:p>
    <w:p>
      <w:pPr>
        <w:pStyle w:val="ConsPlusNonformat"/>
        <w:suppressAutoHyphens w:val="true"/>
        <w:ind w:left="11339" w:right="0" w:hanging="0"/>
        <w:jc w:val="left"/>
        <w:rPr/>
      </w:pPr>
      <w:r>
        <w:rPr>
          <w:rFonts w:cs="Times New Roman" w:ascii="PT Astra Serif" w:hAnsi="PT Astra Serif"/>
        </w:rPr>
        <w:t>области, осуществляющего функции</w:t>
      </w:r>
    </w:p>
    <w:p>
      <w:pPr>
        <w:pStyle w:val="ConsPlusNonformat"/>
        <w:suppressAutoHyphens w:val="true"/>
        <w:ind w:left="11339" w:right="0" w:hanging="0"/>
        <w:jc w:val="left"/>
        <w:rPr/>
      </w:pPr>
      <w:r>
        <w:rPr>
          <w:rFonts w:cs="Times New Roman" w:ascii="PT Astra Serif" w:hAnsi="PT Astra Serif"/>
        </w:rPr>
        <w:t>и полномочия учредителя областного</w:t>
      </w:r>
    </w:p>
    <w:p>
      <w:pPr>
        <w:pStyle w:val="ConsPlusNonformat"/>
        <w:suppressAutoHyphens w:val="true"/>
        <w:ind w:left="11339" w:right="0" w:hanging="0"/>
        <w:jc w:val="left"/>
        <w:rPr/>
      </w:pPr>
      <w:r>
        <w:rPr>
          <w:rFonts w:cs="Times New Roman" w:ascii="PT Astra Serif" w:hAnsi="PT Astra Serif"/>
        </w:rPr>
        <w:t>государственного учреждения)</w:t>
      </w:r>
    </w:p>
    <w:p>
      <w:pPr>
        <w:pStyle w:val="ConsPlusNonformat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center"/>
        <w:rPr/>
      </w:pPr>
      <w:bookmarkStart w:id="1" w:name="P465"/>
      <w:bookmarkEnd w:id="1"/>
      <w:r>
        <w:rPr>
          <w:rFonts w:cs="Times New Roman" w:ascii="PT Astra Serif" w:hAnsi="PT Astra Serif"/>
        </w:rPr>
        <w:t>Отчет об ис</w:t>
      </w:r>
      <w:bookmarkStart w:id="2" w:name="_GoBack1"/>
      <w:bookmarkEnd w:id="2"/>
      <w:r>
        <w:rPr>
          <w:rFonts w:cs="Times New Roman" w:ascii="PT Astra Serif" w:hAnsi="PT Astra Serif"/>
        </w:rPr>
        <w:t>полнении государственного задания за ____ месяцев</w:t>
      </w:r>
    </w:p>
    <w:p>
      <w:pPr>
        <w:pStyle w:val="ConsPlusNonformat"/>
        <w:suppressAutoHyphens w:val="true"/>
        <w:jc w:val="center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center"/>
        <w:rPr/>
      </w:pPr>
      <w:r>
        <w:rPr>
          <w:rFonts w:cs="Times New Roman" w:ascii="PT Astra Serif" w:hAnsi="PT Astra Serif"/>
        </w:rPr>
        <w:t>_________________________________</w:t>
      </w:r>
    </w:p>
    <w:p>
      <w:pPr>
        <w:pStyle w:val="ConsPlusNonformat"/>
        <w:suppressAutoHyphens w:val="true"/>
        <w:jc w:val="center"/>
        <w:rPr/>
      </w:pPr>
      <w:r>
        <w:rPr>
          <w:rFonts w:cs="Times New Roman" w:ascii="PT Astra Serif" w:hAnsi="PT Astra Serif"/>
        </w:rPr>
        <w:t>наименование учреждения</w:t>
      </w:r>
    </w:p>
    <w:p>
      <w:pPr>
        <w:pStyle w:val="ConsPlusNonformat"/>
        <w:suppressAutoHyphens w:val="true"/>
        <w:jc w:val="center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sectPr>
          <w:headerReference w:type="default" r:id="rId3"/>
          <w:type w:val="nextPage"/>
          <w:pgSz w:orient="landscape" w:w="16838" w:h="11906"/>
          <w:pgMar w:left="1134" w:right="1134" w:header="0" w:top="1134" w:footer="0" w:bottom="1134" w:gutter="0"/>
          <w:pgNumType w:fmt="decimal"/>
          <w:formProt w:val="false"/>
          <w:textDirection w:val="lrTb"/>
        </w:sectPr>
        <w:pStyle w:val="ConsPlusNonformat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both"/>
        <w:rPr/>
      </w:pPr>
      <w:r>
        <w:rPr>
          <w:rFonts w:cs="Times New Roman" w:ascii="PT Astra Serif" w:hAnsi="PT Astra Serif"/>
        </w:rPr>
        <w:t xml:space="preserve">    </w:t>
      </w:r>
      <w:r>
        <w:rPr>
          <w:rFonts w:cs="Times New Roman" w:ascii="PT Astra Serif" w:hAnsi="PT Astra Serif"/>
        </w:rPr>
        <w:t>I. Исполнение государственного задания в части оказания государственных услуг</w:t>
      </w:r>
    </w:p>
    <w:p>
      <w:pPr>
        <w:pStyle w:val="ConsPlusNonformat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both"/>
        <w:rPr/>
      </w:pPr>
      <w:r>
        <w:rPr>
          <w:rFonts w:cs="Times New Roman" w:ascii="PT Astra Serif" w:hAnsi="PT Astra Serif"/>
        </w:rPr>
        <w:t xml:space="preserve">    </w:t>
      </w:r>
      <w:r>
        <w:rPr>
          <w:rFonts w:cs="Times New Roman" w:ascii="PT Astra Serif" w:hAnsi="PT Astra Serif"/>
        </w:rPr>
        <w:t>1. Государственная услуга "__________________________________________________"</w:t>
      </w:r>
    </w:p>
    <w:p>
      <w:pPr>
        <w:pStyle w:val="ConsPlusNonformat"/>
        <w:suppressAutoHyphens w:val="true"/>
        <w:jc w:val="both"/>
        <w:rPr/>
      </w:pPr>
      <w:r>
        <w:rPr>
          <w:rFonts w:cs="Times New Roman" w:ascii="PT Astra Serif" w:hAnsi="PT Astra Serif"/>
        </w:rPr>
        <w:t xml:space="preserve">                                </w:t>
      </w:r>
      <w:r>
        <w:rPr>
          <w:rFonts w:cs="Times New Roman" w:ascii="PT Astra Serif" w:hAnsi="PT Astra Serif"/>
        </w:rPr>
        <w:t>(Указывается наименование государственной услуги)</w:t>
      </w:r>
    </w:p>
    <w:p>
      <w:pPr>
        <w:pStyle w:val="ConsPlusNonformat"/>
        <w:suppressAutoHyphens w:val="true"/>
        <w:jc w:val="both"/>
        <w:rPr/>
      </w:pPr>
      <w:r>
        <w:rPr>
          <w:rFonts w:cs="Times New Roman" w:ascii="PT Astra Serif" w:hAnsi="PT Astra Serif"/>
        </w:rPr>
        <w:t xml:space="preserve">    </w:t>
      </w:r>
      <w:r>
        <w:rPr>
          <w:rFonts w:cs="Times New Roman" w:ascii="PT Astra Serif" w:hAnsi="PT Astra Serif"/>
        </w:rPr>
        <w:t>1.1. Сведения о достижении показателей объема</w:t>
      </w:r>
    </w:p>
    <w:p>
      <w:pPr>
        <w:pStyle w:val="ConsPlusNormal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tbl>
      <w:tblPr>
        <w:tblW w:w="14570" w:type="dxa"/>
        <w:jc w:val="left"/>
        <w:tblInd w:w="62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385"/>
        <w:gridCol w:w="1986"/>
        <w:gridCol w:w="1462"/>
        <w:gridCol w:w="1729"/>
        <w:gridCol w:w="1293"/>
        <w:gridCol w:w="2004"/>
        <w:gridCol w:w="1518"/>
        <w:gridCol w:w="1470"/>
        <w:gridCol w:w="1504"/>
        <w:gridCol w:w="1216"/>
      </w:tblGrid>
      <w:tr>
        <w:trPr/>
        <w:tc>
          <w:tcPr>
            <w:tcW w:w="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Содержание государственной услуги</w:t>
            </w:r>
          </w:p>
        </w:tc>
        <w:tc>
          <w:tcPr>
            <w:tcW w:w="1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Условия оказания государственной услуги</w:t>
            </w:r>
          </w:p>
        </w:tc>
        <w:tc>
          <w:tcPr>
            <w:tcW w:w="107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Показатель, характеризующий объем государственной услуги</w:t>
            </w:r>
          </w:p>
        </w:tc>
      </w:tr>
      <w:tr>
        <w:trPr/>
        <w:tc>
          <w:tcPr>
            <w:tcW w:w="3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9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4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значение, утвержденное в государственном задании на отчетный финансовый год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фактическое значение за отчетный финансовый год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/>
            </w:pPr>
            <w:r>
              <w:rPr>
                <w:rFonts w:cs="Times New Roman" w:ascii="PT Astra Serif" w:hAnsi="PT Astra Serif"/>
                <w:sz w:val="24"/>
                <w:szCs w:val="24"/>
              </w:rPr>
              <w:t xml:space="preserve">отклонение, в процентах </w:t>
            </w:r>
            <w:hyperlink w:anchor="P647">
              <w:r>
                <w:rPr>
                  <w:rFonts w:cs="Times New Roman" w:ascii="PT Astra Serif" w:hAnsi="PT Astra Serif"/>
                  <w:color w:val="0000F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/>
            </w:pPr>
            <w:r>
              <w:rPr>
                <w:rFonts w:cs="Times New Roman" w:ascii="PT Astra Serif" w:hAnsi="PT Astra Serif"/>
                <w:sz w:val="24"/>
                <w:szCs w:val="24"/>
              </w:rPr>
              <w:t xml:space="preserve">допустимое (возможное) отклонение </w:t>
            </w:r>
            <w:hyperlink w:anchor="P648">
              <w:r>
                <w:rPr>
                  <w:rFonts w:cs="Times New Roman" w:ascii="PT Astra Serif" w:hAnsi="PT Astra Serif"/>
                  <w:color w:val="0000FF"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/>
            </w:pPr>
            <w:r>
              <w:rPr>
                <w:rFonts w:cs="Times New Roman" w:ascii="PT Astra Serif" w:hAnsi="PT Astra Serif"/>
                <w:sz w:val="24"/>
                <w:szCs w:val="24"/>
              </w:rPr>
              <w:t xml:space="preserve">причины невыполнения </w:t>
            </w:r>
            <w:hyperlink w:anchor="P650">
              <w:r>
                <w:rPr>
                  <w:rFonts w:cs="Times New Roman" w:ascii="PT Astra Serif" w:hAnsi="PT Astra Serif"/>
                  <w:color w:val="0000FF"/>
                  <w:sz w:val="24"/>
                  <w:szCs w:val="24"/>
                </w:rPr>
                <w:t>&lt;3&gt;</w:t>
              </w:r>
            </w:hyperlink>
          </w:p>
        </w:tc>
      </w:tr>
      <w:tr>
        <w:trPr/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</w:tr>
    </w:tbl>
    <w:p>
      <w:pPr>
        <w:pStyle w:val="ConsPlusNormal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both"/>
        <w:rPr/>
      </w:pPr>
      <w:r>
        <w:rPr>
          <w:rFonts w:cs="Times New Roman" w:ascii="PT Astra Serif" w:hAnsi="PT Astra Serif"/>
        </w:rPr>
        <w:t xml:space="preserve">    </w:t>
      </w:r>
      <w:r>
        <w:rPr>
          <w:rFonts w:cs="Times New Roman" w:ascii="PT Astra Serif" w:hAnsi="PT Astra Serif"/>
        </w:rPr>
        <w:t>1.2. Сведения о достижении показателей качества</w:t>
      </w:r>
    </w:p>
    <w:p>
      <w:pPr>
        <w:pStyle w:val="ConsPlusNormal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tbl>
      <w:tblPr>
        <w:tblW w:w="14570" w:type="dxa"/>
        <w:jc w:val="left"/>
        <w:tblInd w:w="62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385"/>
        <w:gridCol w:w="1986"/>
        <w:gridCol w:w="1462"/>
        <w:gridCol w:w="1729"/>
        <w:gridCol w:w="1293"/>
        <w:gridCol w:w="2004"/>
        <w:gridCol w:w="1518"/>
        <w:gridCol w:w="1470"/>
        <w:gridCol w:w="1504"/>
        <w:gridCol w:w="1216"/>
      </w:tblGrid>
      <w:tr>
        <w:trPr/>
        <w:tc>
          <w:tcPr>
            <w:tcW w:w="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Содержание государственной услуги</w:t>
            </w:r>
          </w:p>
        </w:tc>
        <w:tc>
          <w:tcPr>
            <w:tcW w:w="1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Условия оказания государственной услуги</w:t>
            </w:r>
          </w:p>
        </w:tc>
        <w:tc>
          <w:tcPr>
            <w:tcW w:w="107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Показатели, характеризующие качество государственной услуги</w:t>
            </w:r>
          </w:p>
        </w:tc>
      </w:tr>
      <w:tr>
        <w:trPr/>
        <w:tc>
          <w:tcPr>
            <w:tcW w:w="3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9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4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значение, утвержденное в государственном задании на отчетный финансовый год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фактическое значение за отчетный финансовый год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/>
            </w:pPr>
            <w:r>
              <w:rPr>
                <w:rFonts w:cs="Times New Roman" w:ascii="PT Astra Serif" w:hAnsi="PT Astra Serif"/>
                <w:sz w:val="24"/>
                <w:szCs w:val="24"/>
              </w:rPr>
              <w:t xml:space="preserve">отклонение, в процентах </w:t>
            </w:r>
            <w:hyperlink w:anchor="P647">
              <w:r>
                <w:rPr>
                  <w:rFonts w:cs="Times New Roman" w:ascii="PT Astra Serif" w:hAnsi="PT Astra Serif"/>
                  <w:color w:val="0000F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/>
            </w:pPr>
            <w:r>
              <w:rPr>
                <w:rFonts w:cs="Times New Roman" w:ascii="PT Astra Serif" w:hAnsi="PT Astra Serif"/>
                <w:sz w:val="24"/>
                <w:szCs w:val="24"/>
              </w:rPr>
              <w:t xml:space="preserve">допустимое (возможное) отклонение </w:t>
            </w:r>
            <w:hyperlink w:anchor="P648">
              <w:r>
                <w:rPr>
                  <w:rFonts w:cs="Times New Roman" w:ascii="PT Astra Serif" w:hAnsi="PT Astra Serif"/>
                  <w:color w:val="0000FF"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/>
            </w:pPr>
            <w:r>
              <w:rPr>
                <w:rFonts w:cs="Times New Roman" w:ascii="PT Astra Serif" w:hAnsi="PT Astra Serif"/>
                <w:sz w:val="24"/>
                <w:szCs w:val="24"/>
              </w:rPr>
              <w:t xml:space="preserve">причины невыполнения </w:t>
            </w:r>
            <w:hyperlink w:anchor="P650">
              <w:r>
                <w:rPr>
                  <w:rFonts w:cs="Times New Roman" w:ascii="PT Astra Serif" w:hAnsi="PT Astra Serif"/>
                  <w:color w:val="0000FF"/>
                  <w:sz w:val="24"/>
                  <w:szCs w:val="24"/>
                </w:rPr>
                <w:t>&lt;3&gt;</w:t>
              </w:r>
            </w:hyperlink>
          </w:p>
        </w:tc>
      </w:tr>
      <w:tr>
        <w:trPr/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</w:tr>
    </w:tbl>
    <w:p>
      <w:pPr>
        <w:pStyle w:val="ConsPlusNonformat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both"/>
        <w:rPr/>
      </w:pPr>
      <w:r>
        <w:rPr>
          <w:rFonts w:cs="Times New Roman" w:ascii="PT Astra Serif" w:hAnsi="PT Astra Serif"/>
        </w:rPr>
        <w:t xml:space="preserve">    </w:t>
      </w:r>
      <w:r>
        <w:rPr>
          <w:rFonts w:cs="Times New Roman" w:ascii="PT Astra Serif" w:hAnsi="PT Astra Serif"/>
        </w:rPr>
        <w:t>II.    Исполнение    государственного    задания   в   части   оказания государственных работ</w:t>
      </w:r>
    </w:p>
    <w:p>
      <w:pPr>
        <w:pStyle w:val="ConsPlusNonformat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both"/>
        <w:rPr/>
      </w:pPr>
      <w:r>
        <w:rPr>
          <w:rFonts w:cs="Times New Roman" w:ascii="PT Astra Serif" w:hAnsi="PT Astra Serif"/>
        </w:rPr>
        <w:t xml:space="preserve">    </w:t>
      </w:r>
      <w:r>
        <w:rPr>
          <w:rFonts w:cs="Times New Roman" w:ascii="PT Astra Serif" w:hAnsi="PT Astra Serif"/>
        </w:rPr>
        <w:t>1. Государственная работа "___________________________________________________"</w:t>
      </w:r>
    </w:p>
    <w:p>
      <w:pPr>
        <w:pStyle w:val="ConsPlusNonformat"/>
        <w:suppressAutoHyphens w:val="true"/>
        <w:jc w:val="both"/>
        <w:rPr/>
      </w:pPr>
      <w:r>
        <w:rPr>
          <w:rFonts w:cs="Times New Roman" w:ascii="PT Astra Serif" w:hAnsi="PT Astra Serif"/>
        </w:rPr>
        <w:t xml:space="preserve">                                </w:t>
      </w:r>
      <w:r>
        <w:rPr>
          <w:rFonts w:cs="Times New Roman" w:ascii="PT Astra Serif" w:hAnsi="PT Astra Serif"/>
        </w:rPr>
        <w:t>(Указывается наименование государственной работы)</w:t>
      </w:r>
    </w:p>
    <w:p>
      <w:pPr>
        <w:pStyle w:val="ConsPlusNonformat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both"/>
        <w:rPr/>
      </w:pPr>
      <w:r>
        <w:rPr>
          <w:rFonts w:cs="Times New Roman" w:ascii="PT Astra Serif" w:hAnsi="PT Astra Serif"/>
        </w:rPr>
        <w:t xml:space="preserve">    </w:t>
      </w:r>
      <w:r>
        <w:rPr>
          <w:rFonts w:cs="Times New Roman" w:ascii="PT Astra Serif" w:hAnsi="PT Astra Serif"/>
        </w:rPr>
        <w:t>1.1. Сведения о достижении показателей объема</w:t>
      </w:r>
    </w:p>
    <w:p>
      <w:pPr>
        <w:pStyle w:val="ConsPlusNormal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tbl>
      <w:tblPr>
        <w:tblW w:w="14570" w:type="dxa"/>
        <w:jc w:val="left"/>
        <w:tblInd w:w="62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385"/>
        <w:gridCol w:w="1986"/>
        <w:gridCol w:w="1462"/>
        <w:gridCol w:w="1729"/>
        <w:gridCol w:w="1293"/>
        <w:gridCol w:w="2004"/>
        <w:gridCol w:w="1518"/>
        <w:gridCol w:w="1470"/>
        <w:gridCol w:w="1504"/>
        <w:gridCol w:w="1216"/>
      </w:tblGrid>
      <w:tr>
        <w:trPr/>
        <w:tc>
          <w:tcPr>
            <w:tcW w:w="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Содержание государственной работы</w:t>
            </w:r>
          </w:p>
        </w:tc>
        <w:tc>
          <w:tcPr>
            <w:tcW w:w="1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Условия выполнения государственной работы</w:t>
            </w:r>
          </w:p>
        </w:tc>
        <w:tc>
          <w:tcPr>
            <w:tcW w:w="107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Показатель, характеризующий объем государственной работы</w:t>
            </w:r>
          </w:p>
        </w:tc>
      </w:tr>
      <w:tr>
        <w:trPr/>
        <w:tc>
          <w:tcPr>
            <w:tcW w:w="3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9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4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значение, утвержденное в государственном задании на отчетный финансовый год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фактическое значение за отчетный финансовый год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/>
            </w:pPr>
            <w:r>
              <w:rPr>
                <w:rFonts w:cs="Times New Roman" w:ascii="PT Astra Serif" w:hAnsi="PT Astra Serif"/>
                <w:sz w:val="24"/>
                <w:szCs w:val="24"/>
              </w:rPr>
              <w:t xml:space="preserve">отклонение, в процентах </w:t>
            </w:r>
            <w:hyperlink w:anchor="P647">
              <w:r>
                <w:rPr>
                  <w:rFonts w:cs="Times New Roman" w:ascii="PT Astra Serif" w:hAnsi="PT Astra Serif"/>
                  <w:color w:val="0000F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/>
            </w:pPr>
            <w:r>
              <w:rPr>
                <w:rFonts w:cs="Times New Roman" w:ascii="PT Astra Serif" w:hAnsi="PT Astra Serif"/>
                <w:sz w:val="24"/>
                <w:szCs w:val="24"/>
              </w:rPr>
              <w:t xml:space="preserve">допустимое (возможное) отклонение </w:t>
            </w:r>
            <w:hyperlink w:anchor="P648">
              <w:r>
                <w:rPr>
                  <w:rFonts w:cs="Times New Roman" w:ascii="PT Astra Serif" w:hAnsi="PT Astra Serif"/>
                  <w:color w:val="0000FF"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/>
            </w:pPr>
            <w:r>
              <w:rPr>
                <w:rFonts w:cs="Times New Roman" w:ascii="PT Astra Serif" w:hAnsi="PT Astra Serif"/>
                <w:sz w:val="24"/>
                <w:szCs w:val="24"/>
              </w:rPr>
              <w:t xml:space="preserve">причины невыполнения </w:t>
            </w:r>
            <w:hyperlink w:anchor="P650">
              <w:r>
                <w:rPr>
                  <w:rFonts w:cs="Times New Roman" w:ascii="PT Astra Serif" w:hAnsi="PT Astra Serif"/>
                  <w:color w:val="0000FF"/>
                  <w:sz w:val="24"/>
                  <w:szCs w:val="24"/>
                </w:rPr>
                <w:t>&lt;3&gt;</w:t>
              </w:r>
            </w:hyperlink>
          </w:p>
        </w:tc>
      </w:tr>
      <w:tr>
        <w:trPr/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</w:tr>
    </w:tbl>
    <w:p>
      <w:pPr>
        <w:pStyle w:val="ConsPlusNormal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suppressAutoHyphens w:val="true"/>
        <w:jc w:val="both"/>
        <w:rPr/>
      </w:pPr>
      <w:r>
        <w:rPr>
          <w:rFonts w:cs="Times New Roman" w:ascii="PT Astra Serif" w:hAnsi="PT Astra Serif"/>
        </w:rPr>
        <w:t xml:space="preserve">    </w:t>
      </w:r>
      <w:r>
        <w:rPr>
          <w:rFonts w:cs="Times New Roman" w:ascii="PT Astra Serif" w:hAnsi="PT Astra Serif"/>
        </w:rPr>
        <w:t xml:space="preserve">1.2. Сведения о достижении показателей качества </w:t>
      </w:r>
      <w:hyperlink w:anchor="P653">
        <w:r>
          <w:rPr>
            <w:rFonts w:cs="Times New Roman" w:ascii="PT Astra Serif" w:hAnsi="PT Astra Serif"/>
            <w:color w:val="0000FF"/>
          </w:rPr>
          <w:t>&lt;4&gt;</w:t>
        </w:r>
      </w:hyperlink>
    </w:p>
    <w:p>
      <w:pPr>
        <w:pStyle w:val="ConsPlusNormal"/>
        <w:suppressAutoHyphens w:val="true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tbl>
      <w:tblPr>
        <w:tblW w:w="14570" w:type="dxa"/>
        <w:jc w:val="left"/>
        <w:tblInd w:w="62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385"/>
        <w:gridCol w:w="1986"/>
        <w:gridCol w:w="1462"/>
        <w:gridCol w:w="1729"/>
        <w:gridCol w:w="1293"/>
        <w:gridCol w:w="2004"/>
        <w:gridCol w:w="1518"/>
        <w:gridCol w:w="1470"/>
        <w:gridCol w:w="1504"/>
        <w:gridCol w:w="1216"/>
      </w:tblGrid>
      <w:tr>
        <w:trPr/>
        <w:tc>
          <w:tcPr>
            <w:tcW w:w="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Содержание государственной работы</w:t>
            </w:r>
          </w:p>
        </w:tc>
        <w:tc>
          <w:tcPr>
            <w:tcW w:w="1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Условия выполнения государственной работы</w:t>
            </w:r>
          </w:p>
        </w:tc>
        <w:tc>
          <w:tcPr>
            <w:tcW w:w="107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Показатели, характеризующие качество государственной работы</w:t>
            </w:r>
          </w:p>
        </w:tc>
      </w:tr>
      <w:tr>
        <w:trPr/>
        <w:tc>
          <w:tcPr>
            <w:tcW w:w="3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9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4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значение, утвержденное в государственном задании на отчетный финансовый год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фактическое значение за отчетный финансовый год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/>
            </w:pPr>
            <w:r>
              <w:rPr>
                <w:rFonts w:cs="Times New Roman" w:ascii="PT Astra Serif" w:hAnsi="PT Astra Serif"/>
                <w:sz w:val="24"/>
                <w:szCs w:val="24"/>
              </w:rPr>
              <w:t xml:space="preserve">отклонение, в процентах </w:t>
            </w:r>
            <w:hyperlink w:anchor="P647">
              <w:r>
                <w:rPr>
                  <w:rFonts w:cs="Times New Roman" w:ascii="PT Astra Serif" w:hAnsi="PT Astra Serif"/>
                  <w:color w:val="0000F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/>
            </w:pPr>
            <w:r>
              <w:rPr>
                <w:rFonts w:cs="Times New Roman" w:ascii="PT Astra Serif" w:hAnsi="PT Astra Serif"/>
                <w:sz w:val="24"/>
                <w:szCs w:val="24"/>
              </w:rPr>
              <w:t xml:space="preserve">допустимое (возможное) отклонение </w:t>
            </w:r>
            <w:hyperlink w:anchor="P648">
              <w:r>
                <w:rPr>
                  <w:rFonts w:cs="Times New Roman" w:ascii="PT Astra Serif" w:hAnsi="PT Astra Serif"/>
                  <w:color w:val="0000FF"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/>
            </w:pPr>
            <w:r>
              <w:rPr>
                <w:rFonts w:cs="Times New Roman" w:ascii="PT Astra Serif" w:hAnsi="PT Astra Serif"/>
                <w:sz w:val="24"/>
                <w:szCs w:val="24"/>
              </w:rPr>
              <w:t xml:space="preserve">причины невыполнения </w:t>
            </w:r>
            <w:hyperlink w:anchor="P650">
              <w:r>
                <w:rPr>
                  <w:rFonts w:cs="Times New Roman" w:ascii="PT Astra Serif" w:hAnsi="PT Astra Serif"/>
                  <w:color w:val="0000FF"/>
                  <w:sz w:val="24"/>
                  <w:szCs w:val="24"/>
                </w:rPr>
                <w:t>&lt;3&gt;</w:t>
              </w:r>
            </w:hyperlink>
          </w:p>
        </w:tc>
      </w:tr>
      <w:tr>
        <w:trPr/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bookmarkStart w:id="3" w:name="P620"/>
            <w:bookmarkEnd w:id="3"/>
            <w:r>
              <w:rPr>
                <w:rFonts w:cs="Times New Roman"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bookmarkStart w:id="4" w:name="P621"/>
            <w:bookmarkEnd w:id="4"/>
            <w:r>
              <w:rPr>
                <w:rFonts w:cs="Times New Roman"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bookmarkStart w:id="5" w:name="P622"/>
            <w:bookmarkEnd w:id="5"/>
            <w:r>
              <w:rPr>
                <w:rFonts w:cs="Times New Roman"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bookmarkStart w:id="6" w:name="P623"/>
            <w:bookmarkEnd w:id="6"/>
            <w:r>
              <w:rPr>
                <w:rFonts w:cs="Times New Roman"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uppressAutoHyphens w:val="true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</w:r>
          </w:p>
        </w:tc>
      </w:tr>
    </w:tbl>
    <w:p>
      <w:pPr>
        <w:pStyle w:val="ConsPlusNonformat"/>
        <w:suppressAutoHyphens w:val="true"/>
        <w:jc w:val="both"/>
        <w:rPr/>
      </w:pPr>
      <w:bookmarkStart w:id="7" w:name="P647"/>
      <w:bookmarkEnd w:id="7"/>
      <w:r>
        <w:rPr>
          <w:rFonts w:cs="Times New Roman" w:ascii="PT Astra Serif" w:hAnsi="PT Astra Serif"/>
          <w:sz w:val="16"/>
          <w:szCs w:val="16"/>
        </w:rPr>
        <w:t xml:space="preserve">  </w:t>
      </w:r>
    </w:p>
    <w:p>
      <w:pPr>
        <w:pStyle w:val="ConsPlusNonformat"/>
        <w:suppressAutoHyphens w:val="true"/>
        <w:ind w:left="142" w:right="0" w:hanging="0"/>
        <w:jc w:val="both"/>
        <w:rPr/>
      </w:pPr>
      <w:r>
        <w:rPr>
          <w:rFonts w:cs="Times New Roman" w:ascii="PT Astra Serif" w:hAnsi="PT Astra Serif"/>
          <w:sz w:val="16"/>
          <w:szCs w:val="16"/>
        </w:rPr>
        <w:t xml:space="preserve"> </w:t>
      </w:r>
      <w:r>
        <w:rPr>
          <w:rFonts w:cs="Times New Roman" w:ascii="PT Astra Serif" w:hAnsi="PT Astra Serif"/>
          <w:sz w:val="16"/>
          <w:szCs w:val="16"/>
        </w:rPr>
        <w:t xml:space="preserve">&lt;1&gt; Рассчитывается по формуле: </w:t>
      </w:r>
      <w:hyperlink w:anchor="P622">
        <w:r>
          <w:rPr>
            <w:rFonts w:cs="Times New Roman" w:ascii="PT Astra Serif" w:hAnsi="PT Astra Serif"/>
            <w:color w:val="0000FF"/>
            <w:sz w:val="16"/>
            <w:szCs w:val="16"/>
          </w:rPr>
          <w:t>гр. 8</w:t>
        </w:r>
      </w:hyperlink>
      <w:r>
        <w:rPr>
          <w:rFonts w:cs="Times New Roman" w:ascii="PT Astra Serif" w:hAnsi="PT Astra Serif"/>
          <w:sz w:val="16"/>
          <w:szCs w:val="16"/>
        </w:rPr>
        <w:t xml:space="preserve"> = 100 - (</w:t>
      </w:r>
      <w:hyperlink w:anchor="P621">
        <w:r>
          <w:rPr>
            <w:rFonts w:cs="Times New Roman" w:ascii="PT Astra Serif" w:hAnsi="PT Astra Serif"/>
            <w:color w:val="0000FF"/>
            <w:sz w:val="16"/>
            <w:szCs w:val="16"/>
          </w:rPr>
          <w:t>гр. 7</w:t>
        </w:r>
      </w:hyperlink>
      <w:r>
        <w:rPr>
          <w:rFonts w:cs="Times New Roman" w:ascii="PT Astra Serif" w:hAnsi="PT Astra Serif"/>
          <w:sz w:val="16"/>
          <w:szCs w:val="16"/>
        </w:rPr>
        <w:t xml:space="preserve"> / </w:t>
      </w:r>
      <w:hyperlink w:anchor="P620">
        <w:r>
          <w:rPr>
            <w:rFonts w:cs="Times New Roman" w:ascii="PT Astra Serif" w:hAnsi="PT Astra Serif"/>
            <w:color w:val="0000FF"/>
            <w:sz w:val="16"/>
            <w:szCs w:val="16"/>
          </w:rPr>
          <w:t>гр. 6</w:t>
        </w:r>
      </w:hyperlink>
      <w:r>
        <w:rPr>
          <w:rFonts w:cs="Times New Roman" w:ascii="PT Astra Serif" w:hAnsi="PT Astra Serif"/>
          <w:sz w:val="16"/>
          <w:szCs w:val="16"/>
        </w:rPr>
        <w:t xml:space="preserve"> x 100).</w:t>
      </w:r>
    </w:p>
    <w:p>
      <w:pPr>
        <w:pStyle w:val="ConsPlusNonformat"/>
        <w:suppressAutoHyphens w:val="true"/>
        <w:jc w:val="both"/>
        <w:rPr/>
      </w:pPr>
      <w:bookmarkStart w:id="8" w:name="P648"/>
      <w:bookmarkEnd w:id="8"/>
      <w:r>
        <w:rPr>
          <w:rFonts w:cs="Times New Roman" w:ascii="PT Astra Serif" w:hAnsi="PT Astra Serif"/>
          <w:sz w:val="16"/>
          <w:szCs w:val="16"/>
        </w:rPr>
        <w:t xml:space="preserve">    </w:t>
      </w:r>
      <w:r>
        <w:rPr>
          <w:rFonts w:cs="Times New Roman" w:ascii="PT Astra Serif" w:hAnsi="PT Astra Serif"/>
          <w:sz w:val="16"/>
          <w:szCs w:val="16"/>
        </w:rPr>
        <w:t>&lt;2&gt;   Отклонение,   при   котором   государственное  задание  считается</w:t>
      </w:r>
    </w:p>
    <w:p>
      <w:pPr>
        <w:pStyle w:val="ConsPlusNonformat"/>
        <w:suppressAutoHyphens w:val="true"/>
        <w:jc w:val="both"/>
        <w:rPr/>
      </w:pPr>
      <w:r>
        <w:rPr>
          <w:rFonts w:cs="Times New Roman" w:ascii="PT Astra Serif" w:hAnsi="PT Astra Serif"/>
          <w:sz w:val="16"/>
          <w:szCs w:val="16"/>
        </w:rPr>
        <w:t>выполненным (устанавливается в соответствующем государственном задании).</w:t>
      </w:r>
    </w:p>
    <w:p>
      <w:pPr>
        <w:pStyle w:val="ConsPlusNonformat"/>
        <w:suppressAutoHyphens w:val="true"/>
        <w:jc w:val="both"/>
        <w:rPr/>
      </w:pPr>
      <w:bookmarkStart w:id="9" w:name="P650"/>
      <w:bookmarkEnd w:id="9"/>
      <w:r>
        <w:rPr>
          <w:rFonts w:cs="Times New Roman" w:ascii="PT Astra Serif" w:hAnsi="PT Astra Serif"/>
          <w:sz w:val="16"/>
          <w:szCs w:val="16"/>
        </w:rPr>
        <w:t xml:space="preserve">    </w:t>
      </w:r>
      <w:r>
        <w:rPr>
          <w:rFonts w:cs="Times New Roman" w:ascii="PT Astra Serif" w:hAnsi="PT Astra Serif"/>
          <w:sz w:val="16"/>
          <w:szCs w:val="16"/>
        </w:rPr>
        <w:t>&lt;3&gt;   Причины  невыполнения  описываются  в  случае,  если  отклонение,</w:t>
      </w:r>
    </w:p>
    <w:p>
      <w:pPr>
        <w:pStyle w:val="ConsPlusNonformat"/>
        <w:suppressAutoHyphens w:val="true"/>
        <w:jc w:val="both"/>
        <w:rPr/>
      </w:pPr>
      <w:r>
        <w:rPr>
          <w:rFonts w:cs="Times New Roman" w:ascii="PT Astra Serif" w:hAnsi="PT Astra Serif"/>
          <w:sz w:val="16"/>
          <w:szCs w:val="16"/>
        </w:rPr>
        <w:t xml:space="preserve">указанное  в </w:t>
      </w:r>
      <w:hyperlink w:anchor="P622">
        <w:r>
          <w:rPr>
            <w:rFonts w:cs="Times New Roman" w:ascii="PT Astra Serif" w:hAnsi="PT Astra Serif"/>
            <w:color w:val="0000FF"/>
            <w:sz w:val="16"/>
            <w:szCs w:val="16"/>
          </w:rPr>
          <w:t>гр. 8</w:t>
        </w:r>
      </w:hyperlink>
      <w:r>
        <w:rPr>
          <w:rFonts w:cs="Times New Roman" w:ascii="PT Astra Serif" w:hAnsi="PT Astra Serif"/>
          <w:sz w:val="16"/>
          <w:szCs w:val="16"/>
        </w:rPr>
        <w:t>, выше установленного допустимого (возможного) отклонения</w:t>
      </w:r>
      <w:hyperlink w:anchor="P623">
        <w:r>
          <w:rPr>
            <w:rFonts w:cs="Times New Roman" w:ascii="PT Astra Serif" w:hAnsi="PT Astra Serif"/>
            <w:color w:val="0000FF"/>
            <w:sz w:val="16"/>
            <w:szCs w:val="16"/>
          </w:rPr>
          <w:t>(гр. 9)</w:t>
        </w:r>
      </w:hyperlink>
      <w:r>
        <w:rPr>
          <w:rFonts w:cs="Times New Roman" w:ascii="PT Astra Serif" w:hAnsi="PT Astra Serif"/>
          <w:sz w:val="16"/>
          <w:szCs w:val="16"/>
        </w:rPr>
        <w:t>.</w:t>
      </w:r>
    </w:p>
    <w:p>
      <w:pPr>
        <w:pStyle w:val="ConsPlusNonformat"/>
        <w:suppressAutoHyphens w:val="true"/>
        <w:ind w:right="-739" w:hanging="0"/>
        <w:jc w:val="both"/>
        <w:rPr>
          <w:rFonts w:ascii="PT Astra Serif" w:hAnsi="PT Astra Serif"/>
        </w:rPr>
      </w:pPr>
      <w:bookmarkStart w:id="10" w:name="P653"/>
      <w:bookmarkEnd w:id="10"/>
      <w:r>
        <w:rPr>
          <w:rFonts w:cs="Times New Roman" w:ascii="PT Astra Serif" w:hAnsi="PT Astra Serif"/>
          <w:sz w:val="16"/>
          <w:szCs w:val="16"/>
        </w:rPr>
        <w:t xml:space="preserve">    </w:t>
      </w:r>
      <w:r>
        <w:rPr>
          <w:rFonts w:cs="Times New Roman" w:ascii="PT Astra Serif" w:hAnsi="PT Astra Serif"/>
          <w:sz w:val="16"/>
          <w:szCs w:val="16"/>
        </w:rPr>
        <w:t>&lt;4&gt;  Заполняется  при  наличии  в  государственном  задании показателей качества для работы.</w:t>
      </w:r>
    </w:p>
    <w:sectPr>
      <w:headerReference w:type="default" r:id="rId4"/>
      <w:type w:val="nextPage"/>
      <w:pgSz w:orient="landscape" w:w="16838" w:h="11906"/>
      <w:pgMar w:left="1134" w:right="1134" w:header="0" w:top="709" w:footer="0" w:bottom="547" w:gutter="0"/>
      <w:pgNumType w:fmt="decimal"/>
      <w:formProt w:val="false"/>
      <w:textDirection w:val="lrTb"/>
      <w:docGrid w:type="default" w:linePitch="360" w:charSpace="429495910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Courier New">
    <w:charset w:val="01"/>
    <w:family w:val="roman"/>
    <w:pitch w:val="default"/>
  </w:font>
  <w:font w:name="Calibri">
    <w:charset w:val="01"/>
    <w:family w:val="roman"/>
    <w:pitch w:val="default"/>
  </w:font>
  <w:font w:name="PT Astra Serif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8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/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0"/>
  <w:embedSystemFonts/>
  <w:defaultTabStop w:val="327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semiHidden="0" w:unhideWhenUsed="0" w:qFormat="1"/>
    <w:lsdException w:name="heading 4" w:uiPriority="9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both"/>
    </w:pPr>
    <w:rPr>
      <w:rFonts w:eastAsia="Lucida Sans Unicode" w:cs="Mangal" w:ascii="Times New Roman" w:hAnsi="Times New Roman"/>
      <w:color w:val="auto"/>
      <w:kern w:val="2"/>
      <w:sz w:val="28"/>
      <w:szCs w:val="24"/>
      <w:lang w:eastAsia="zh-CN" w:bidi="hi-IN" w:val="ru-RU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</w:rPr>
  </w:style>
  <w:style w:type="paragraph" w:styleId="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rPr>
      <w:color w:val="000080"/>
      <w:u w:val="single"/>
    </w:rPr>
  </w:style>
  <w:style w:type="character" w:styleId="Style13" w:customStyle="1">
    <w:name w:val="Текст выноски Знак"/>
    <w:basedOn w:val="DefaultParagraphFont"/>
    <w:link w:val="afa"/>
    <w:uiPriority w:val="99"/>
    <w:semiHidden/>
    <w:qFormat/>
    <w:rsid w:val="006c58b3"/>
    <w:rPr>
      <w:rFonts w:ascii="Tahoma" w:hAnsi="Tahoma" w:eastAsia="Lucida Sans Unicode" w:cs="Mangal"/>
      <w:kern w:val="2"/>
      <w:sz w:val="16"/>
      <w:szCs w:val="14"/>
      <w:lang w:eastAsia="zh-CN" w:bidi="hi-IN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/>
      <w:szCs w:val="28"/>
    </w:rPr>
  </w:style>
  <w:style w:type="paragraph" w:styleId="Style15">
    <w:name w:val="Body Text"/>
    <w:basedOn w:val="Normal"/>
    <w:pPr/>
    <w:rPr/>
  </w:style>
  <w:style w:type="paragraph" w:styleId="Style16">
    <w:name w:val="List"/>
    <w:basedOn w:val="Style15"/>
    <w:pPr/>
    <w:rPr>
      <w:rFonts w:ascii="Arial" w:hAnsi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19">
    <w:name w:val="Title"/>
    <w:basedOn w:val="Normal"/>
    <w:next w:val="Style15"/>
    <w:qFormat/>
    <w:pPr>
      <w:keepNext w:val="true"/>
      <w:spacing w:before="240" w:after="120"/>
    </w:pPr>
    <w:rPr>
      <w:rFonts w:ascii="Arial" w:hAnsi="Arial"/>
      <w:szCs w:val="28"/>
    </w:rPr>
  </w:style>
  <w:style w:type="paragraph" w:styleId="Style20">
    <w:name w:val="Subtitle"/>
    <w:basedOn w:val="Style19"/>
    <w:next w:val="Style15"/>
    <w:qFormat/>
    <w:pPr>
      <w:jc w:val="center"/>
    </w:pPr>
    <w:rPr>
      <w:i/>
      <w:iCs/>
    </w:rPr>
  </w:style>
  <w:style w:type="paragraph" w:styleId="Caption">
    <w:name w:val="caption"/>
    <w:basedOn w:val="Normal"/>
    <w:qFormat/>
    <w:pPr>
      <w:suppressLineNumbers/>
      <w:spacing w:before="0" w:after="119"/>
    </w:pPr>
    <w:rPr>
      <w:iCs/>
    </w:rPr>
  </w:style>
  <w:style w:type="paragraph" w:styleId="1" w:customStyle="1">
    <w:name w:val="Указатель1"/>
    <w:basedOn w:val="Normal"/>
    <w:qFormat/>
    <w:pPr>
      <w:suppressLineNumbers/>
    </w:pPr>
    <w:rPr>
      <w:rFonts w:ascii="Arial" w:hAnsi="Arial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pPr>
      <w:suppressLineNumbers/>
      <w:tabs>
        <w:tab w:val="clear" w:pos="327"/>
        <w:tab w:val="center" w:pos="5102" w:leader="none"/>
        <w:tab w:val="right" w:pos="10205" w:leader="none"/>
      </w:tabs>
    </w:pPr>
    <w:rPr/>
  </w:style>
  <w:style w:type="paragraph" w:styleId="Style23" w:customStyle="1">
    <w:name w:val="Верхний колонтитул справа"/>
    <w:basedOn w:val="Normal"/>
    <w:qFormat/>
    <w:pPr>
      <w:suppressLineNumbers/>
      <w:tabs>
        <w:tab w:val="clear" w:pos="327"/>
        <w:tab w:val="center" w:pos="5102" w:leader="none"/>
        <w:tab w:val="right" w:pos="10205" w:leader="none"/>
      </w:tabs>
    </w:pPr>
    <w:rPr/>
  </w:style>
  <w:style w:type="paragraph" w:styleId="Style24" w:customStyle="1">
    <w:name w:val="Верхний колонтитул слева"/>
    <w:basedOn w:val="Normal"/>
    <w:qFormat/>
    <w:pPr>
      <w:suppressLineNumbers/>
      <w:tabs>
        <w:tab w:val="clear" w:pos="327"/>
        <w:tab w:val="center" w:pos="5102" w:leader="none"/>
        <w:tab w:val="right" w:pos="10205" w:leader="none"/>
      </w:tabs>
    </w:pPr>
    <w:rPr/>
  </w:style>
  <w:style w:type="paragraph" w:styleId="Style25" w:customStyle="1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26">
    <w:name w:val="Body Text Indent"/>
    <w:basedOn w:val="Style15"/>
    <w:pPr>
      <w:ind w:left="283" w:hanging="0"/>
    </w:pPr>
    <w:rPr/>
  </w:style>
  <w:style w:type="paragraph" w:styleId="BodyTextIndent">
    <w:name w:val="Body Text Indent"/>
    <w:basedOn w:val="Style15"/>
    <w:qFormat/>
    <w:pPr>
      <w:ind w:firstLine="709"/>
    </w:pPr>
    <w:rPr/>
  </w:style>
  <w:style w:type="paragraph" w:styleId="Style27" w:customStyle="1">
    <w:name w:val="Таблица"/>
    <w:basedOn w:val="Caption"/>
    <w:qFormat/>
    <w:pPr/>
    <w:rPr/>
  </w:style>
  <w:style w:type="paragraph" w:styleId="11" w:customStyle="1">
    <w:name w:val="Текст1"/>
    <w:basedOn w:val="Caption"/>
    <w:qFormat/>
    <w:pPr/>
    <w:rPr/>
  </w:style>
  <w:style w:type="paragraph" w:styleId="Style28" w:customStyle="1">
    <w:name w:val="Содержимое таблицы"/>
    <w:basedOn w:val="Normal"/>
    <w:qFormat/>
    <w:pPr>
      <w:suppressLineNumbers/>
    </w:pPr>
    <w:rPr/>
  </w:style>
  <w:style w:type="paragraph" w:styleId="Style29" w:customStyle="1">
    <w:name w:val="Текст шапки"/>
    <w:basedOn w:val="Style15"/>
    <w:qFormat/>
    <w:pPr>
      <w:jc w:val="center"/>
    </w:pPr>
    <w:rPr>
      <w:b/>
      <w:bCs/>
      <w:sz w:val="30"/>
      <w:szCs w:val="30"/>
    </w:rPr>
  </w:style>
  <w:style w:type="paragraph" w:styleId="Style30" w:customStyle="1">
    <w:name w:val="Подпись_дол+ФИО"/>
    <w:basedOn w:val="Style15"/>
    <w:next w:val="BodyTextIndent"/>
    <w:qFormat/>
    <w:pPr>
      <w:tabs>
        <w:tab w:val="clear" w:pos="327"/>
        <w:tab w:val="right" w:pos="10035" w:leader="none"/>
      </w:tabs>
      <w:jc w:val="left"/>
    </w:pPr>
    <w:rPr/>
  </w:style>
  <w:style w:type="paragraph" w:styleId="Style31" w:customStyle="1">
    <w:name w:val="Содержимое врезки"/>
    <w:basedOn w:val="Style15"/>
    <w:qFormat/>
    <w:pPr/>
    <w:rPr/>
  </w:style>
  <w:style w:type="paragraph" w:styleId="Style32">
    <w:name w:val="Signature"/>
    <w:basedOn w:val="Style15"/>
    <w:pPr>
      <w:suppressLineNumbers/>
    </w:pPr>
    <w:rPr/>
  </w:style>
  <w:style w:type="paragraph" w:styleId="Style33" w:customStyle="1">
    <w:name w:val="ПодписьСогл_дол+ФИО"/>
    <w:basedOn w:val="Style30"/>
    <w:qFormat/>
    <w:pPr/>
    <w:rPr>
      <w:sz w:val="24"/>
    </w:rPr>
  </w:style>
  <w:style w:type="paragraph" w:styleId="Style34" w:customStyle="1">
    <w:name w:val="Текст в заданном формате"/>
    <w:basedOn w:val="Normal"/>
    <w:qFormat/>
    <w:pPr/>
    <w:rPr>
      <w:rFonts w:ascii="Courier New" w:hAnsi="Courier New" w:eastAsia="Courier New" w:cs="Courier New"/>
      <w:sz w:val="20"/>
      <w:szCs w:val="20"/>
    </w:rPr>
  </w:style>
  <w:style w:type="paragraph" w:styleId="Style35" w:customStyle="1">
    <w:name w:val="Заголовок таблицы"/>
    <w:basedOn w:val="Style28"/>
    <w:qFormat/>
    <w:pPr/>
    <w:rPr/>
  </w:style>
  <w:style w:type="paragraph" w:styleId="Western" w:customStyle="1">
    <w:name w:val="подписьсогл-дол+фио-western"/>
    <w:basedOn w:val="Normal"/>
    <w:qFormat/>
    <w:rsid w:val="00ad1e1a"/>
    <w:pPr>
      <w:widowControl/>
      <w:suppressAutoHyphens w:val="false"/>
      <w:spacing w:beforeAutospacing="1" w:after="0"/>
    </w:pPr>
    <w:rPr>
      <w:rFonts w:eastAsia="Times New Roman" w:cs="Times New Roman"/>
      <w:kern w:val="0"/>
      <w:sz w:val="24"/>
      <w:lang w:eastAsia="ru-RU" w:bidi="ar-SA"/>
    </w:rPr>
  </w:style>
  <w:style w:type="paragraph" w:styleId="BalloonText">
    <w:name w:val="Balloon Text"/>
    <w:basedOn w:val="Normal"/>
    <w:link w:val="afb"/>
    <w:uiPriority w:val="99"/>
    <w:semiHidden/>
    <w:unhideWhenUsed/>
    <w:qFormat/>
    <w:rsid w:val="006c58b3"/>
    <w:pPr/>
    <w:rPr>
      <w:rFonts w:ascii="Tahoma" w:hAnsi="Tahoma"/>
      <w:sz w:val="16"/>
      <w:szCs w:val="14"/>
    </w:rPr>
  </w:style>
  <w:style w:type="paragraph" w:styleId="ListParagraph">
    <w:name w:val="List Paragraph"/>
    <w:basedOn w:val="Normal"/>
    <w:uiPriority w:val="34"/>
    <w:qFormat/>
    <w:rsid w:val="00af24ea"/>
    <w:pPr>
      <w:spacing w:before="0" w:after="0"/>
      <w:ind w:left="720" w:hanging="0"/>
      <w:contextualSpacing/>
    </w:pPr>
    <w:rPr/>
  </w:style>
  <w:style w:type="paragraph" w:styleId="ConsPlusNonformat">
    <w:name w:val="ConsPlusNonformat"/>
    <w:qFormat/>
    <w:pPr>
      <w:widowControl w:val="false"/>
      <w:bidi w:val="0"/>
      <w:spacing w:lineRule="auto" w:line="240" w:before="0" w:after="0"/>
      <w:ind w:right="0" w:hanging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ru-RU" w:val="ru-RU" w:bidi="ar-SA"/>
    </w:rPr>
  </w:style>
  <w:style w:type="paragraph" w:styleId="ConsPlusNormal">
    <w:name w:val="ConsPlusNormal"/>
    <w:qFormat/>
    <w:pPr>
      <w:widowControl w:val="false"/>
      <w:bidi w:val="0"/>
      <w:spacing w:lineRule="auto" w:line="240" w:before="0" w:after="0"/>
      <w:ind w:right="0" w:hanging="0"/>
      <w:jc w:val="left"/>
    </w:pPr>
    <w:rPr>
      <w:rFonts w:ascii="Calibri" w:hAnsi="Calibri" w:eastAsia="Times New Roman" w:cs="Calibri"/>
      <w:color w:val="auto"/>
      <w:kern w:val="0"/>
      <w:sz w:val="28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8c46bb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2A9DF-E91D-4F4A-B374-02CDA089A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Application>LibreOffice/6.4.7.2$Linux_X86_64 LibreOffice_project/40$Build-2</Application>
  <Pages>11</Pages>
  <Words>2196</Words>
  <Characters>17300</Characters>
  <CharactersWithSpaces>19476</CharactersWithSpaces>
  <Paragraphs>210</Paragraphs>
  <Company>КонсультантПлюс Версия 4016.00.12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2021-06-04T08:06:00Z</dcterms:created>
  <dc:creator>IvanovaNV</dc:creator>
  <dc:description/>
  <dc:language>ru-RU</dc:language>
  <cp:lastModifiedBy/>
  <cp:lastPrinted>2021-06-28T08:38:00Z</cp:lastPrinted>
  <dcterms:modified xsi:type="dcterms:W3CDTF">2022-04-01T10:43:14Z</dcterms:modified>
  <cp:revision>10</cp:revision>
  <dc:subject/>
  <dc:title>Постановление Администрации Томской области от 05.06.2014 N 213а(ред. от 12.01.2016)"Об утверждении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КонсультантПлюс Версия 4016.00.12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