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2e5eaf1f2f8e0efeae8"/>
        <w:rPr>
          <w:bCs w:val="false"/>
          <w:szCs w:val="24"/>
        </w:rPr>
      </w:pPr>
      <w:r>
        <w:rPr/>
        <w:drawing>
          <wp:inline distT="0" distB="0" distL="0" distR="0">
            <wp:extent cx="716280" cy="65532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239" t="-250" r="-239" b="-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D2e5eaf1f2f8e0efeae8"/>
        <w:rPr>
          <w:bCs w:val="false"/>
          <w:szCs w:val="24"/>
        </w:rPr>
      </w:pPr>
      <w:r>
        <w:rPr>
          <w:bCs w:val="false"/>
          <w:szCs w:val="24"/>
        </w:rPr>
        <w:t>ДЕПАРТАМЕНТ ВЕТЕРИНАРИИ</w:t>
        <w:br/>
        <w:t>ТОМСКОЙ ОБЛАСТИ</w:t>
        <w:br/>
      </w:r>
    </w:p>
    <w:tbl>
      <w:tblPr>
        <w:tblW w:w="9922" w:type="dxa"/>
        <w:jc w:val="left"/>
        <w:tblInd w:w="11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0" w:val="0000" w:noHBand="0" w:lastColumn="0" w:firstColumn="0" w:lastRow="0" w:firstRow="0"/>
      </w:tblPr>
      <w:tblGrid>
        <w:gridCol w:w="2268"/>
        <w:gridCol w:w="6662"/>
        <w:gridCol w:w="426"/>
        <w:gridCol w:w="56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D2e5eaf1f2f8e0efeae8"/>
              <w:spacing w:before="0" w:after="136"/>
              <w:rPr>
                <w:bCs w:val="false"/>
                <w:szCs w:val="24"/>
              </w:rPr>
            </w:pPr>
            <w:r>
              <w:rPr>
                <w:bCs w:val="false"/>
                <w:sz w:val="28"/>
                <w:szCs w:val="24"/>
              </w:rPr>
              <w:t>ПРИКАЗ</w:t>
            </w:r>
          </w:p>
        </w:tc>
      </w:tr>
      <w:tr>
        <w:trPr/>
        <w:tc>
          <w:tcPr>
            <w:tcW w:w="2268" w:type="dxa"/>
            <w:tcBorders/>
            <w:shd w:fill="auto" w:val="clear"/>
          </w:tcPr>
          <w:p>
            <w:pPr>
              <w:pStyle w:val="D1eee4e5f0e6e8eceee5f2e0e1ebe8f6fb"/>
              <w:jc w:val="center"/>
              <w:rPr>
                <w:szCs w:val="24"/>
              </w:rPr>
            </w:pPr>
            <w:r>
              <w:rPr>
                <w:szCs w:val="24"/>
              </w:rPr>
              <w:t>25.02.2020</w:t>
            </w:r>
          </w:p>
        </w:tc>
        <w:tc>
          <w:tcPr>
            <w:tcW w:w="6662" w:type="dxa"/>
            <w:tcBorders/>
            <w:shd w:fill="auto" w:val="clear"/>
          </w:tcPr>
          <w:p>
            <w:pPr>
              <w:pStyle w:val="D2e5eaf1f2f8e0efeae8"/>
              <w:rPr>
                <w:bCs w:val="false"/>
                <w:szCs w:val="24"/>
              </w:rPr>
            </w:pPr>
            <w:r>
              <w:rPr>
                <w:bCs w:val="false"/>
                <w:szCs w:val="24"/>
              </w:rPr>
            </w:r>
          </w:p>
        </w:tc>
        <w:tc>
          <w:tcPr>
            <w:tcW w:w="426" w:type="dxa"/>
            <w:tcBorders/>
            <w:shd w:fill="auto" w:val="clear"/>
          </w:tcPr>
          <w:p>
            <w:pPr>
              <w:pStyle w:val="Normal"/>
              <w:tabs>
                <w:tab w:val="right" w:pos="9930" w:leader="none"/>
              </w:tabs>
              <w:jc w:val="right"/>
              <w:rPr/>
            </w:pPr>
            <w:r>
              <w:rPr/>
              <w:t>№</w:t>
            </w:r>
          </w:p>
        </w:tc>
        <w:tc>
          <w:tcPr>
            <w:tcW w:w="565" w:type="dxa"/>
            <w:tcBorders/>
            <w:shd w:fill="auto" w:val="clear"/>
          </w:tcPr>
          <w:p>
            <w:pPr>
              <w:pStyle w:val="D1eee4e5f0e6e8eceee5f2e0e1ebe8f6fb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>
        <w:trPr>
          <w:trHeight w:val="304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D1eee4e5f0e6e8eceee5f2e0e1ebe8f6fb"/>
              <w:spacing w:before="0" w:after="0"/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D1eee4e5f0e6e8eceee5f2e0e1ebe8f6fb"/>
              <w:spacing w:before="0" w:after="0"/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Об утверждении </w:t>
            </w:r>
            <w:r>
              <w:rPr/>
              <w:t>Порядка 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ветеринарии Томской области</w:t>
            </w:r>
          </w:p>
        </w:tc>
      </w:tr>
    </w:tbl>
    <w:p>
      <w:pPr>
        <w:pStyle w:val="Normal"/>
        <w:ind w:firstLine="709"/>
        <w:rPr>
          <w:szCs w:val="28"/>
        </w:rPr>
      </w:pPr>
      <w:r>
        <w:rPr>
          <w:szCs w:val="28"/>
        </w:rPr>
      </w:r>
    </w:p>
    <w:p>
      <w:pPr>
        <w:pStyle w:val="Normal"/>
        <w:ind w:firstLine="709"/>
        <w:rPr>
          <w:szCs w:val="28"/>
        </w:rPr>
      </w:pPr>
      <w:r>
        <w:rPr>
          <w:szCs w:val="28"/>
        </w:rPr>
      </w:r>
    </w:p>
    <w:p>
      <w:pPr>
        <w:pStyle w:val="Normal"/>
        <w:ind w:firstLine="709"/>
        <w:rPr/>
      </w:pPr>
      <w:r>
        <w:rPr>
          <w:szCs w:val="28"/>
        </w:rPr>
        <w:t xml:space="preserve">В соответствии со </w:t>
      </w:r>
      <w:hyperlink r:id="rId3">
        <w:r>
          <w:rPr>
            <w:rStyle w:val="ListLabel56"/>
            <w:szCs w:val="28"/>
          </w:rPr>
          <w:t>статьей 47</w:t>
        </w:r>
      </w:hyperlink>
      <w:r>
        <w:rPr>
          <w:szCs w:val="28"/>
          <w:vertAlign w:val="superscript"/>
        </w:rPr>
        <w:t>2</w:t>
      </w:r>
      <w:r>
        <w:rPr>
          <w:szCs w:val="28"/>
        </w:rPr>
        <w:t xml:space="preserve"> Бюджетного кодекса Российской Федерации, </w:t>
      </w:r>
      <w:hyperlink r:id="rId4">
        <w:bookmarkStart w:id="0" w:name="_GoBack"/>
        <w:bookmarkEnd w:id="0"/>
        <w:r>
          <w:rPr>
            <w:rStyle w:val="ListLabel56"/>
            <w:szCs w:val="28"/>
          </w:rPr>
          <w:t>постановлением</w:t>
        </w:r>
      </w:hyperlink>
      <w:r>
        <w:rPr>
          <w:szCs w:val="28"/>
        </w:rPr>
        <w:t xml:space="preserve"> Правительства Российской Федерации от 06.05.2016 № 393</w:t>
        <w:br/>
        <w:t>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</w:t>
      </w:r>
    </w:p>
    <w:p>
      <w:pPr>
        <w:pStyle w:val="Normal"/>
        <w:widowControl/>
        <w:ind w:firstLine="709"/>
        <w:rPr>
          <w:szCs w:val="28"/>
        </w:rPr>
      </w:pPr>
      <w:r>
        <w:rPr>
          <w:szCs w:val="28"/>
        </w:rPr>
        <w:t>ПРИКАЗЫВАЮ:</w:t>
      </w:r>
    </w:p>
    <w:p>
      <w:pPr>
        <w:pStyle w:val="Normal"/>
        <w:ind w:firstLine="709"/>
        <w:rPr>
          <w:rFonts w:cs="Times New Roman"/>
          <w:kern w:val="0"/>
          <w:szCs w:val="28"/>
          <w:lang w:bidi="ar-SA"/>
        </w:rPr>
      </w:pPr>
      <w:r>
        <w:rPr>
          <w:szCs w:val="28"/>
        </w:rPr>
        <w:t xml:space="preserve">1. Утвердить Порядок </w:t>
      </w:r>
      <w:r>
        <w:rPr/>
        <w:t>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ветеринарии Томской области, согласно приложению к настоящему приказу</w:t>
      </w:r>
      <w:r>
        <w:rPr>
          <w:szCs w:val="28"/>
        </w:rPr>
        <w:t>.</w:t>
      </w:r>
    </w:p>
    <w:p>
      <w:pPr>
        <w:pStyle w:val="Normal"/>
        <w:widowControl/>
        <w:ind w:firstLine="709"/>
        <w:rPr>
          <w:rStyle w:val="Cef1edeee2edeee9f8f0e8f4f2e0e1e7e0f6e0"/>
          <w:color w:val="000000"/>
        </w:rPr>
      </w:pPr>
      <w:r>
        <w:rPr>
          <w:rStyle w:val="Cef1edeee2edeee9f8f0e8f4f2e0e1e7e0f6e0"/>
          <w:color w:val="000000"/>
        </w:rPr>
        <w:t>2. Контроль за исполнением настоящего приказа оставляю за собой.</w:t>
      </w:r>
    </w:p>
    <w:p>
      <w:pPr>
        <w:pStyle w:val="BodyTextIndent"/>
        <w:rPr/>
      </w:pPr>
      <w:r>
        <w:rPr/>
      </w:r>
    </w:p>
    <w:p>
      <w:pPr>
        <w:pStyle w:val="BodyTextIndent"/>
        <w:rPr/>
      </w:pPr>
      <w:r>
        <w:rPr/>
      </w:r>
    </w:p>
    <w:p>
      <w:pPr>
        <w:pStyle w:val="BodyTextIndent"/>
        <w:rPr/>
      </w:pPr>
      <w:r>
        <w:rPr/>
      </w:r>
    </w:p>
    <w:p>
      <w:pPr>
        <w:pStyle w:val="BodyTextIndent"/>
        <w:rPr/>
      </w:pPr>
      <w:r>
        <w:rPr/>
        <w:t xml:space="preserve"> </w:t>
      </w:r>
    </w:p>
    <w:p>
      <w:pPr>
        <w:pStyle w:val="BodyTextIndent"/>
        <w:ind w:right="-1" w:hanging="0"/>
        <w:jc w:val="left"/>
        <w:rPr>
          <w:szCs w:val="28"/>
        </w:rPr>
      </w:pPr>
      <w:r>
        <w:rPr>
          <w:szCs w:val="28"/>
        </w:rPr>
        <w:t xml:space="preserve">Начальник департамента    </w:t>
        <w:tab/>
        <w:tab/>
        <w:tab/>
        <w:t xml:space="preserve">          В.В.Табакаев</w:t>
      </w:r>
    </w:p>
    <w:p>
      <w:pPr>
        <w:pStyle w:val="BodyTextIndent"/>
        <w:ind w:hanging="0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sectPr>
          <w:type w:val="nextPage"/>
          <w:pgSz w:w="11906" w:h="16838"/>
          <w:pgMar w:left="1134" w:right="567" w:header="0" w:top="1172" w:footer="0" w:bottom="1134" w:gutter="0"/>
          <w:pgNumType w:fmt="decimal"/>
          <w:formProt w:val="false"/>
          <w:textDirection w:val="lrTb"/>
          <w:docGrid w:type="default" w:linePitch="312" w:charSpace="4294952754"/>
        </w:sectPr>
        <w:pStyle w:val="BodyTextIndent"/>
        <w:rPr>
          <w:szCs w:val="28"/>
        </w:rPr>
      </w:pPr>
      <w:r>
        <w:rPr>
          <w:szCs w:val="28"/>
        </w:rPr>
      </w:r>
    </w:p>
    <w:p>
      <w:pPr>
        <w:pStyle w:val="Style32"/>
        <w:ind w:left="5245" w:firstLine="709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>
      <w:pPr>
        <w:pStyle w:val="Style32"/>
        <w:ind w:left="5245" w:firstLine="709"/>
        <w:rPr>
          <w:sz w:val="28"/>
          <w:szCs w:val="28"/>
        </w:rPr>
      </w:pPr>
      <w:r>
        <w:rPr>
          <w:sz w:val="28"/>
          <w:szCs w:val="28"/>
        </w:rPr>
        <w:t xml:space="preserve">приказом Департамента ветеринарии Томской области </w:t>
      </w:r>
    </w:p>
    <w:p>
      <w:pPr>
        <w:pStyle w:val="Style32"/>
        <w:ind w:left="5245" w:firstLine="709"/>
        <w:rPr>
          <w:sz w:val="28"/>
          <w:szCs w:val="28"/>
        </w:rPr>
      </w:pPr>
      <w:r>
        <w:rPr>
          <w:sz w:val="28"/>
          <w:szCs w:val="28"/>
        </w:rPr>
        <w:t>от 25.02.2020 № 5</w:t>
      </w:r>
    </w:p>
    <w:p>
      <w:pPr>
        <w:pStyle w:val="Style32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Порядок</w:t>
      </w:r>
    </w:p>
    <w:p>
      <w:pPr>
        <w:pStyle w:val="Normal"/>
        <w:tabs>
          <w:tab w:val="left" w:pos="1440" w:leader="none"/>
        </w:tabs>
        <w:ind w:firstLine="570"/>
        <w:jc w:val="center"/>
        <w:rPr/>
      </w:pPr>
      <w:r>
        <w:rPr/>
        <w:t>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ветеринарии Томской области</w:t>
      </w:r>
    </w:p>
    <w:p>
      <w:pPr>
        <w:pStyle w:val="Style15"/>
        <w:widowControl/>
        <w:tabs>
          <w:tab w:val="left" w:pos="908" w:leader="none"/>
        </w:tabs>
        <w:spacing w:lineRule="exact" w:line="317"/>
        <w:ind w:right="20" w:firstLine="709"/>
        <w:rPr/>
      </w:pPr>
      <w:r>
        <w:rPr/>
      </w:r>
    </w:p>
    <w:p>
      <w:pPr>
        <w:pStyle w:val="Normal"/>
        <w:widowControl/>
        <w:ind w:firstLine="709"/>
        <w:rPr/>
      </w:pPr>
      <w:r>
        <w:rPr/>
        <w:t>1. Настоящий Порядок</w:t>
      </w:r>
      <w:r>
        <w:rPr>
          <w:rFonts w:cs="Times New Roman"/>
          <w:kern w:val="0"/>
          <w:szCs w:val="28"/>
          <w:lang w:bidi="ar-SA"/>
        </w:rPr>
        <w:t xml:space="preserve"> устанавливает правила и основания принятия решения о признании безнадежной к взысканию задолженности по платежам в областной бюджет,</w:t>
      </w:r>
      <w:r>
        <w:rPr/>
        <w:t xml:space="preserve"> главным администратором которых является Департамент ветеринарии Томской области (далее - Департамент).</w:t>
      </w:r>
    </w:p>
    <w:p>
      <w:pPr>
        <w:pStyle w:val="Style15"/>
        <w:widowControl/>
        <w:tabs>
          <w:tab w:val="left" w:pos="908" w:leader="none"/>
        </w:tabs>
        <w:spacing w:lineRule="exact" w:line="317"/>
        <w:ind w:right="20" w:firstLine="709"/>
        <w:rPr/>
      </w:pPr>
      <w:r>
        <w:rPr/>
        <w:t>2. Случаями признания задолженности по платежам в областной бюджет безнадежной к взысканию являются:</w:t>
      </w:r>
    </w:p>
    <w:p>
      <w:pPr>
        <w:pStyle w:val="Style15"/>
        <w:widowControl/>
        <w:tabs>
          <w:tab w:val="left" w:pos="908" w:leader="none"/>
        </w:tabs>
        <w:spacing w:lineRule="exact" w:line="317"/>
        <w:ind w:right="20" w:firstLine="709"/>
        <w:rPr/>
      </w:pPr>
      <w:r>
        <w:rPr/>
        <w:t>1) смерть физического лица - плательщика платежей в областной бюджет или объявления его умершим в порядке, установленном гражданским процессуальным законодательством Российской Федерации;</w:t>
      </w:r>
    </w:p>
    <w:p>
      <w:pPr>
        <w:pStyle w:val="Style15"/>
        <w:widowControl/>
        <w:tabs>
          <w:tab w:val="left" w:pos="889" w:leader="none"/>
        </w:tabs>
        <w:spacing w:lineRule="exact" w:line="317"/>
        <w:ind w:right="20" w:firstLine="709"/>
        <w:rPr/>
      </w:pPr>
      <w:r>
        <w:rPr/>
        <w:t>2) признание банкротом индивидуального предпринимателя - плательщика платежей в областной бюджет в соответствии с Федеральным законом от 26 октября 2002 года № 127-ФЗ «О несостоятельности (банкротстве)» в части задолженности по платежам в областной бюджет, не погашенным по причине недостаточности имущества должника;</w:t>
      </w:r>
    </w:p>
    <w:p>
      <w:pPr>
        <w:pStyle w:val="Style15"/>
        <w:widowControl/>
        <w:tabs>
          <w:tab w:val="left" w:pos="908" w:leader="none"/>
        </w:tabs>
        <w:spacing w:lineRule="exact" w:line="317"/>
        <w:ind w:right="20" w:firstLine="709"/>
        <w:rPr/>
      </w:pPr>
      <w:r>
        <w:rPr/>
        <w:t>3) ликвидация организации - плательщика платежей в областной бюджет в части задолженности по платежам в областной бюджет, не погашенным по причине недостаточности имущества организации и (или) невозможности их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>
      <w:pPr>
        <w:pStyle w:val="Style15"/>
        <w:widowControl/>
        <w:tabs>
          <w:tab w:val="left" w:pos="898" w:leader="none"/>
        </w:tabs>
        <w:spacing w:lineRule="exact" w:line="317"/>
        <w:ind w:right="20" w:firstLine="709"/>
        <w:rPr/>
      </w:pPr>
      <w:r>
        <w:rPr/>
        <w:t>4) принятие судом акта, в соответствии с которым Департамент утрачивает возможность взыскания задолженности по платежам в областной бюджет в связи с истечением установленного срока ее взыскания (срока исковой давности), в том числе вынесения судом определения об отказе в восстановлении пропущенного срока подачи заявления в суд о взыскании задолженности по платежам в областной бюджет;</w:t>
      </w:r>
    </w:p>
    <w:p>
      <w:pPr>
        <w:pStyle w:val="Style15"/>
        <w:widowControl/>
        <w:tabs>
          <w:tab w:val="left" w:pos="908" w:leader="none"/>
        </w:tabs>
        <w:spacing w:lineRule="exact" w:line="317"/>
        <w:ind w:right="20" w:firstLine="709"/>
        <w:rPr/>
      </w:pPr>
      <w:r>
        <w:rPr/>
        <w:t>5) вынесение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пунктами 3 и 4 части 1 статьи 46 Федерального закона от 2 октября 2007 года № 229-ФЗ «Об исполнительном производстве», если с даты образования задолженности по платежам в областной бюджет прошло более пяти лет, в случаях если:</w:t>
      </w:r>
    </w:p>
    <w:p>
      <w:pPr>
        <w:pStyle w:val="Style15"/>
        <w:widowControl/>
        <w:tabs>
          <w:tab w:val="left" w:pos="908" w:leader="none"/>
        </w:tabs>
        <w:spacing w:lineRule="exact" w:line="317"/>
        <w:ind w:right="20" w:firstLine="709"/>
        <w:rPr/>
      </w:pPr>
      <w:r>
        <w:rPr/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>
      <w:pPr>
        <w:pStyle w:val="Style15"/>
        <w:widowControl/>
        <w:tabs>
          <w:tab w:val="left" w:pos="908" w:leader="none"/>
        </w:tabs>
        <w:spacing w:lineRule="exact" w:line="317"/>
        <w:ind w:right="20" w:firstLine="709"/>
        <w:rPr/>
      </w:pPr>
      <w:r>
        <w:rPr/>
        <w:t>судом возвращено заявление о признании плательщика платежей в областной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>
      <w:pPr>
        <w:pStyle w:val="Style15"/>
        <w:widowControl/>
        <w:tabs>
          <w:tab w:val="left" w:pos="908" w:leader="none"/>
        </w:tabs>
        <w:spacing w:lineRule="exact" w:line="317"/>
        <w:ind w:right="20" w:firstLine="709"/>
        <w:rPr/>
      </w:pPr>
      <w:r>
        <w:rPr/>
        <w:t>6) истечение установленного Кодексом Российской Федерации об административных правонарушениях срока давности исполнения постановления о назначении административного наказания в виде административного штрафа при отсутствии оснований для перерыва, приостановления или продления такого срока.</w:t>
      </w:r>
    </w:p>
    <w:p>
      <w:pPr>
        <w:pStyle w:val="Style15"/>
        <w:widowControl/>
        <w:tabs>
          <w:tab w:val="left" w:pos="908" w:leader="none"/>
        </w:tabs>
        <w:spacing w:lineRule="exact" w:line="317"/>
        <w:ind w:right="20" w:firstLine="709"/>
        <w:rPr/>
      </w:pPr>
      <w:r>
        <w:rPr/>
        <w:t>3. Документами, подтверждающими наличие оснований для принятия решений о признании безнадежной к взысканию задолженности по платежам в областной бюджет, являются:</w:t>
      </w:r>
    </w:p>
    <w:p>
      <w:pPr>
        <w:pStyle w:val="Style15"/>
        <w:widowControl/>
        <w:tabs>
          <w:tab w:val="left" w:pos="908" w:leader="none"/>
        </w:tabs>
        <w:spacing w:lineRule="exact" w:line="317"/>
        <w:ind w:right="20" w:firstLine="709"/>
        <w:rPr/>
      </w:pPr>
      <w:r>
        <w:rPr/>
        <w:t>1) выписка из отчетности Департамента об учитываемых суммах задолженности по уплате платежей в областной бюджет, подготавливаемая финансово-экономическим комитетом Департамента;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/>
      </w:pPr>
      <w:r>
        <w:rPr/>
        <w:t>2) справка Департамента о принятых мерах по обеспечению взыскания по платежам в областной бюджет;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/>
      </w:pPr>
      <w:r>
        <w:rPr/>
        <w:t>3) документы, подтверждающие случаи признания безнадежной к взысканию задолженности по уплате платежей в областной бюджет, в том числе: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/>
      </w:pPr>
      <w:r>
        <w:rPr/>
        <w:t>а) документ, свидетельствующий о смерти, объявлении судом умершим, признании безвестно отсутствующим физического лица - плательщика платежей в областной бюджет или подтверждающий факт объявления его умершим;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/>
      </w:pPr>
      <w:r>
        <w:rPr/>
        <w:t>б) документ, содержащий сведения из Единого государственного реестра индивидуальных предпринимателей о прекращении деятельности вследствие признания банкротом индивидуального предпринимателя - плательщика платежей в областной бюджет, из Единого государственного реестра юридических лиц о прекращении деятельности в связи с ликвидацией организации - плательщика платежей в областной бюджет;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/>
      </w:pPr>
      <w:r>
        <w:rPr/>
        <w:t>в) судебный акт, в соответствии с которым Департамент утрачивает возможность взыскания задолженности по платежам в областной бюджет в связи с истечением установленного срока ее взыскания (срока исковой давности), в том числе определение суда об отказе в восстановлении пропущенного срока подачи в суд заявления о взыскании задолженности по платежам в бюджет;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/>
      </w:pPr>
      <w:r>
        <w:rPr/>
        <w:t xml:space="preserve">г) 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 </w:t>
      </w:r>
      <w:hyperlink r:id="rId5">
        <w:r>
          <w:rPr>
            <w:rStyle w:val="ListLabel57"/>
          </w:rPr>
          <w:t>пунктами 3</w:t>
        </w:r>
      </w:hyperlink>
      <w:r>
        <w:rPr/>
        <w:t xml:space="preserve"> и </w:t>
      </w:r>
      <w:hyperlink r:id="rId6">
        <w:r>
          <w:rPr>
            <w:rStyle w:val="ListLabel57"/>
          </w:rPr>
          <w:t>4 части 1 статьи 46</w:t>
        </w:r>
      </w:hyperlink>
      <w:r>
        <w:rPr/>
        <w:t xml:space="preserve"> Федерального закона от 2 октября 2007 года № 229-ФЗ «Об исполнительном производстве»;</w:t>
      </w:r>
    </w:p>
    <w:p>
      <w:pPr>
        <w:pStyle w:val="Style15"/>
        <w:widowControl/>
        <w:tabs>
          <w:tab w:val="left" w:pos="908" w:leader="none"/>
        </w:tabs>
        <w:spacing w:lineRule="exact" w:line="317"/>
        <w:ind w:right="20" w:firstLine="709"/>
        <w:rPr/>
      </w:pPr>
      <w:r>
        <w:rPr/>
        <w:t>д) документы, подтверждающие банкротство гражданина;</w:t>
      </w:r>
    </w:p>
    <w:p>
      <w:pPr>
        <w:pStyle w:val="Style15"/>
        <w:widowControl/>
        <w:tabs>
          <w:tab w:val="left" w:pos="908" w:leader="none"/>
        </w:tabs>
        <w:spacing w:lineRule="exact" w:line="317"/>
        <w:ind w:right="20" w:firstLine="709"/>
        <w:rPr/>
      </w:pPr>
      <w:r>
        <w:rPr/>
        <w:t>е) судебный акт, в соответствии с которым Департамент утрачивает возможность удовлетворения всей суммы искового требования (части требования) о взыскании задолженности.</w:t>
      </w:r>
    </w:p>
    <w:p>
      <w:pPr>
        <w:pStyle w:val="Style15"/>
        <w:widowControl/>
        <w:tabs>
          <w:tab w:val="left" w:pos="889" w:leader="none"/>
        </w:tabs>
        <w:spacing w:lineRule="exact" w:line="317"/>
        <w:ind w:right="20" w:firstLine="709"/>
        <w:rPr/>
      </w:pPr>
      <w:r>
        <w:rPr/>
        <w:t xml:space="preserve">4. Решения о признании безнадежной к взысканию задолженности по платежам в областной бюджет принимается комиссией по поступлению и выбытию активов (далее - комиссия), состав которой утверждается распоряжением Департамента. </w:t>
      </w:r>
    </w:p>
    <w:p>
      <w:pPr>
        <w:pStyle w:val="Style15"/>
        <w:widowControl/>
        <w:tabs>
          <w:tab w:val="left" w:pos="889" w:leader="none"/>
        </w:tabs>
        <w:spacing w:lineRule="exact" w:line="317"/>
        <w:ind w:right="20" w:firstLine="709"/>
        <w:rPr/>
      </w:pPr>
      <w:r>
        <w:rPr/>
        <w:t xml:space="preserve">5. Документы, указанные в </w:t>
      </w:r>
      <w:hyperlink w:anchor="P47">
        <w:r>
          <w:rPr>
            <w:rStyle w:val="ListLabel57"/>
          </w:rPr>
          <w:t>пункте 3</w:t>
        </w:r>
      </w:hyperlink>
      <w:r>
        <w:rPr/>
        <w:t xml:space="preserve"> настоящего Порядка, передаются председателю комиссии должностным лицом Департамента, в должностные обязанности которого входит осуществление контроля за задолженностью по платежам в областной бюджет, не позднее 10 рабочих дней со дня поступления в Департамент документов, подтверждающих наличие оснований для принятия решений о признании безнадежной к взысканию задолженности по платежам в областной бюджет.</w:t>
      </w:r>
    </w:p>
    <w:p>
      <w:pPr>
        <w:pStyle w:val="Style15"/>
        <w:widowControl/>
        <w:tabs>
          <w:tab w:val="left" w:pos="889" w:leader="none"/>
        </w:tabs>
        <w:spacing w:lineRule="exact" w:line="317"/>
        <w:ind w:right="20" w:firstLine="709"/>
        <w:rPr/>
      </w:pPr>
      <w:r>
        <w:rPr/>
        <w:t>6. Комиссия рассматривает документы, указанные в пункте 3 настоящего Порядка, и принимает решение о признании задолженности безнадежной к взысканию не позднее 10 рабочих дней со дня передачи указанных документов председателю комиссии.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/>
      </w:pPr>
      <w:r>
        <w:rPr/>
        <w:t xml:space="preserve">7. Решение комиссии о признании безнадежной к взысканию задолженности по платежам в областной бюджет оформляется Актом </w:t>
      </w:r>
      <w:r>
        <w:rPr>
          <w:rFonts w:cs="Times New Roman"/>
          <w:kern w:val="0"/>
          <w:szCs w:val="28"/>
          <w:lang w:bidi="ar-SA"/>
        </w:rPr>
        <w:t>о признании безнадежной к взысканию задолженности по платежам в областной бюджет (далее - акт)</w:t>
      </w:r>
      <w:r>
        <w:rPr/>
        <w:t>, содержащим следующую информацию: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/>
      </w:pPr>
      <w:r>
        <w:rPr/>
        <w:t>1) полное наименование организации, фамилия, имя, отчество (при наличии) физического лица;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/>
      </w:pPr>
      <w:r>
        <w:rPr/>
        <w:t>2) 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/>
      </w:pPr>
      <w:r>
        <w:rPr/>
        <w:t>3) сведения о платеже, по которому возникла задолженность;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/>
      </w:pPr>
      <w:r>
        <w:rPr/>
        <w:t>4) код классификации доходов бюджетов Российской Федерации, по которым учитывается задолженность по платежам в областной бюджет, его наименование;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/>
      </w:pPr>
      <w:r>
        <w:rPr/>
        <w:t>5) сумма задолженности по платежам в областной бюджет;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/>
      </w:pPr>
      <w:r>
        <w:rPr/>
        <w:t>6) сумма задолженности по пеням и штрафам по соответствующим платежам в областной бюджет;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>
          <w:rFonts w:cs="Times New Roman"/>
          <w:kern w:val="0"/>
          <w:szCs w:val="28"/>
          <w:lang w:bidi="ar-SA"/>
        </w:rPr>
      </w:pPr>
      <w:r>
        <w:rPr/>
        <w:t>7) дата принятия решения о признании б</w:t>
      </w:r>
      <w:r>
        <w:rPr>
          <w:rFonts w:cs="Times New Roman"/>
          <w:kern w:val="0"/>
          <w:szCs w:val="28"/>
          <w:lang w:bidi="ar-SA"/>
        </w:rPr>
        <w:t>езнадежной к взысканию задолженности по платежам в областной бюджет;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>
          <w:rFonts w:cs="Times New Roman"/>
          <w:kern w:val="0"/>
          <w:szCs w:val="28"/>
          <w:lang w:bidi="ar-SA"/>
        </w:rPr>
      </w:pPr>
      <w:r>
        <w:rPr>
          <w:rFonts w:cs="Times New Roman"/>
          <w:kern w:val="0"/>
          <w:szCs w:val="28"/>
          <w:lang w:bidi="ar-SA"/>
        </w:rPr>
        <w:t>8) подписи членов комиссии.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>
          <w:rFonts w:cs="Times New Roman"/>
          <w:kern w:val="0"/>
          <w:szCs w:val="28"/>
          <w:lang w:bidi="ar-SA"/>
        </w:rPr>
      </w:pPr>
      <w:r>
        <w:rPr>
          <w:rFonts w:cs="Times New Roman"/>
          <w:kern w:val="0"/>
          <w:szCs w:val="28"/>
          <w:lang w:bidi="ar-SA"/>
        </w:rPr>
        <w:t>6. Акт передается председателем комиссии начальнику Департамента в день его подписания всеми членами комиссии.</w:t>
      </w:r>
    </w:p>
    <w:p>
      <w:pPr>
        <w:pStyle w:val="Style15"/>
        <w:widowControl/>
        <w:tabs>
          <w:tab w:val="left" w:pos="927" w:leader="none"/>
        </w:tabs>
        <w:spacing w:lineRule="exact" w:line="317"/>
        <w:ind w:right="20" w:firstLine="709"/>
        <w:rPr/>
      </w:pPr>
      <w:r>
        <w:rPr>
          <w:rFonts w:cs="Times New Roman"/>
          <w:kern w:val="0"/>
          <w:szCs w:val="28"/>
          <w:lang w:bidi="ar-SA"/>
        </w:rPr>
        <w:t>8. Акт утверждается начальником Департамента не позднее трех рабочих дней со дня подписания акта всеми членами комиссии.</w:t>
      </w:r>
    </w:p>
    <w:sectPr>
      <w:headerReference w:type="default" r:id="rId7"/>
      <w:type w:val="nextPage"/>
      <w:pgSz w:w="11906" w:h="16838"/>
      <w:pgMar w:left="1134" w:right="567" w:header="567" w:top="1172" w:footer="0" w:bottom="1134" w:gutter="0"/>
      <w:pgNumType w:start="1" w:fmt="decimal"/>
      <w:formProt w:val="false"/>
      <w:titlePg/>
      <w:textDirection w:val="lrTb"/>
      <w:docGrid w:type="default" w:linePitch="312" w:charSpace="429495275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ourier New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0"/>
  <w:defaultTabStop w:val="72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Lucida Sans Unicode" w:cs="Mangal"/>
        <w:kern w:val="2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First Inden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jc w:val="both"/>
    </w:pPr>
    <w:rPr>
      <w:rFonts w:ascii="Times New Roman" w:hAnsi="Times New Roman" w:eastAsia="Lucida Sans Unicode" w:cs="Mangal"/>
      <w:color w:val="auto"/>
      <w:kern w:val="2"/>
      <w:sz w:val="28"/>
      <w:szCs w:val="24"/>
      <w:lang w:val="ru-RU" w:eastAsia="zh-CN" w:bidi="hi-IN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center"/>
      <w:outlineLvl w:val="2"/>
    </w:pPr>
    <w:rPr>
      <w:b/>
    </w:rPr>
  </w:style>
  <w:style w:type="paragraph" w:styleId="5">
    <w:name w:val="Heading 5"/>
    <w:basedOn w:val="Normal"/>
    <w:qFormat/>
    <w:pPr>
      <w:keepNext w:val="true"/>
      <w:numPr>
        <w:ilvl w:val="4"/>
        <w:numId w:val="1"/>
      </w:numPr>
      <w:jc w:val="center"/>
      <w:outlineLvl w:val="4"/>
    </w:pPr>
    <w:rPr>
      <w:b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ef1edeee2edeee9f8f0e8f4f2e0e1e7e0f6e0" w:customStyle="1">
    <w:name w:val="Оceсf1нedоeeвe2нedоeeйe9 шf8рf0иe8фf4тf2 аe0бe1зe7аe0цf6аe0"/>
    <w:uiPriority w:val="99"/>
    <w:qFormat/>
    <w:rsid w:val="00455cf5"/>
    <w:rPr/>
  </w:style>
  <w:style w:type="character" w:styleId="BodytextBold" w:customStyle="1">
    <w:name w:val="Body text + Bold"/>
    <w:basedOn w:val="DefaultParagraphFont"/>
    <w:uiPriority w:val="99"/>
    <w:qFormat/>
    <w:rsid w:val="00cb7942"/>
    <w:rPr>
      <w:rFonts w:ascii="Times New Roman" w:hAnsi="Times New Roman" w:cs="Times New Roman"/>
      <w:b/>
      <w:bCs/>
      <w:spacing w:val="0"/>
      <w:sz w:val="27"/>
      <w:szCs w:val="27"/>
    </w:rPr>
  </w:style>
  <w:style w:type="character" w:styleId="BodytextSpacing1pt" w:customStyle="1">
    <w:name w:val="Body text + Spacing 1 pt"/>
    <w:basedOn w:val="DefaultParagraphFont"/>
    <w:uiPriority w:val="99"/>
    <w:qFormat/>
    <w:rsid w:val="00cb7942"/>
    <w:rPr>
      <w:rFonts w:ascii="Times New Roman" w:hAnsi="Times New Roman" w:cs="Times New Roman"/>
      <w:spacing w:val="20"/>
      <w:sz w:val="27"/>
      <w:szCs w:val="27"/>
    </w:rPr>
  </w:style>
  <w:style w:type="character" w:styleId="BodytextBold1" w:customStyle="1">
    <w:name w:val="Body text + Bold1"/>
    <w:basedOn w:val="DefaultParagraphFont"/>
    <w:uiPriority w:val="99"/>
    <w:qFormat/>
    <w:rsid w:val="00cb7942"/>
    <w:rPr>
      <w:rFonts w:ascii="Times New Roman" w:hAnsi="Times New Roman" w:cs="Times New Roman"/>
      <w:b/>
      <w:bCs/>
      <w:spacing w:val="0"/>
      <w:sz w:val="27"/>
      <w:szCs w:val="27"/>
    </w:rPr>
  </w:style>
  <w:style w:type="character" w:styleId="Tablecaption" w:customStyle="1">
    <w:name w:val="Table caption_"/>
    <w:basedOn w:val="DefaultParagraphFont"/>
    <w:link w:val="Tablecaption0"/>
    <w:uiPriority w:val="99"/>
    <w:qFormat/>
    <w:locked/>
    <w:rsid w:val="00cb7942"/>
    <w:rPr>
      <w:rFonts w:ascii="Times New Roman" w:hAnsi="Times New Roman" w:cs="Times New Roman"/>
      <w:sz w:val="27"/>
      <w:szCs w:val="27"/>
      <w:shd w:fill="FFFFFF" w:val="clear"/>
    </w:rPr>
  </w:style>
  <w:style w:type="character" w:styleId="Bodytext4" w:customStyle="1">
    <w:name w:val="Body text (4)_"/>
    <w:basedOn w:val="DefaultParagraphFont"/>
    <w:link w:val="Bodytext40"/>
    <w:uiPriority w:val="99"/>
    <w:qFormat/>
    <w:locked/>
    <w:rsid w:val="00cb7942"/>
    <w:rPr>
      <w:rFonts w:ascii="Times New Roman" w:hAnsi="Times New Roman" w:cs="Times New Roman"/>
      <w:szCs w:val="20"/>
      <w:shd w:fill="FFFFFF" w:val="clear"/>
    </w:rPr>
  </w:style>
  <w:style w:type="character" w:styleId="Bodytext3" w:customStyle="1">
    <w:name w:val="Body text (3)_"/>
    <w:basedOn w:val="DefaultParagraphFont"/>
    <w:link w:val="Bodytext30"/>
    <w:uiPriority w:val="99"/>
    <w:qFormat/>
    <w:locked/>
    <w:rsid w:val="00cb7942"/>
    <w:rPr>
      <w:rFonts w:ascii="Times New Roman" w:hAnsi="Times New Roman" w:cs="Times New Roman"/>
      <w:sz w:val="8"/>
      <w:szCs w:val="8"/>
      <w:shd w:fill="FFFFFF" w:val="clear"/>
    </w:rPr>
  </w:style>
  <w:style w:type="character" w:styleId="Bodytext5" w:customStyle="1">
    <w:name w:val="Body text (5)_"/>
    <w:basedOn w:val="DefaultParagraphFont"/>
    <w:link w:val="Bodytext50"/>
    <w:uiPriority w:val="99"/>
    <w:qFormat/>
    <w:locked/>
    <w:rsid w:val="00cb7942"/>
    <w:rPr>
      <w:rFonts w:ascii="Times New Roman" w:hAnsi="Times New Roman" w:cs="Times New Roman"/>
      <w:szCs w:val="20"/>
      <w:shd w:fill="FFFFFF" w:val="clear"/>
    </w:rPr>
  </w:style>
  <w:style w:type="character" w:styleId="Style12" w:customStyle="1">
    <w:name w:val="Нижний колонтитул Знак"/>
    <w:basedOn w:val="DefaultParagraphFont"/>
    <w:link w:val="afb"/>
    <w:uiPriority w:val="99"/>
    <w:qFormat/>
    <w:rsid w:val="00d35073"/>
    <w:rPr>
      <w:rFonts w:ascii="Times New Roman" w:hAnsi="Times New Roman"/>
      <w:sz w:val="28"/>
    </w:rPr>
  </w:style>
  <w:style w:type="character" w:styleId="ListLabel1">
    <w:name w:val="ListLabel 1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2">
    <w:name w:val="ListLabel 2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3">
    <w:name w:val="ListLabel 3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4">
    <w:name w:val="ListLabel 4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5">
    <w:name w:val="ListLabel 5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6">
    <w:name w:val="ListLabel 6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7">
    <w:name w:val="ListLabel 7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8">
    <w:name w:val="ListLabel 8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9">
    <w:name w:val="ListLabel 9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10">
    <w:name w:val="ListLabel 10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7"/>
      <w:u w:val="none"/>
    </w:rPr>
  </w:style>
  <w:style w:type="character" w:styleId="ListLabel11">
    <w:name w:val="ListLabel 11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12">
    <w:name w:val="ListLabel 12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13">
    <w:name w:val="ListLabel 13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14">
    <w:name w:val="ListLabel 14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15">
    <w:name w:val="ListLabel 15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16">
    <w:name w:val="ListLabel 16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17">
    <w:name w:val="ListLabel 17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18">
    <w:name w:val="ListLabel 18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19">
    <w:name w:val="ListLabel 19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7"/>
      <w:u w:val="none"/>
    </w:rPr>
  </w:style>
  <w:style w:type="character" w:styleId="ListLabel20">
    <w:name w:val="ListLabel 20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21">
    <w:name w:val="ListLabel 21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22">
    <w:name w:val="ListLabel 22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23">
    <w:name w:val="ListLabel 23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24">
    <w:name w:val="ListLabel 24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25">
    <w:name w:val="ListLabel 25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26">
    <w:name w:val="ListLabel 26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27">
    <w:name w:val="ListLabel 27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28">
    <w:name w:val="ListLabel 28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w w:val="100"/>
      <w:sz w:val="27"/>
      <w:u w:val="none"/>
    </w:rPr>
  </w:style>
  <w:style w:type="character" w:styleId="ListLabel29">
    <w:name w:val="ListLabel 29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30">
    <w:name w:val="ListLabel 30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31">
    <w:name w:val="ListLabel 31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32">
    <w:name w:val="ListLabel 32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33">
    <w:name w:val="ListLabel 33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34">
    <w:name w:val="ListLabel 34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35">
    <w:name w:val="ListLabel 35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36">
    <w:name w:val="ListLabel 36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37">
    <w:name w:val="ListLabel 37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38">
    <w:name w:val="ListLabel 38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39">
    <w:name w:val="ListLabel 39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40">
    <w:name w:val="ListLabel 40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41">
    <w:name w:val="ListLabel 41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42">
    <w:name w:val="ListLabel 42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43">
    <w:name w:val="ListLabel 43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44">
    <w:name w:val="ListLabel 44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45">
    <w:name w:val="ListLabel 45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46">
    <w:name w:val="ListLabel 46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47">
    <w:name w:val="ListLabel 47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48">
    <w:name w:val="ListLabel 48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49">
    <w:name w:val="ListLabel 49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50">
    <w:name w:val="ListLabel 50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51">
    <w:name w:val="ListLabel 51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52">
    <w:name w:val="ListLabel 52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53">
    <w:name w:val="ListLabel 53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54">
    <w:name w:val="ListLabel 54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7"/>
      <w:szCs w:val="27"/>
      <w:u w:val="none"/>
    </w:rPr>
  </w:style>
  <w:style w:type="character" w:styleId="ListLabel55">
    <w:name w:val="ListLabel 55"/>
    <w:qFormat/>
    <w:rPr>
      <w:rFonts w:cs="Mangal"/>
    </w:rPr>
  </w:style>
  <w:style w:type="character" w:styleId="ListLabel56">
    <w:name w:val="ListLabel 56"/>
    <w:qFormat/>
    <w:rPr>
      <w:szCs w:val="2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ListLabel57">
    <w:name w:val="ListLabel 57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/>
      <w:szCs w:val="28"/>
    </w:rPr>
  </w:style>
  <w:style w:type="paragraph" w:styleId="Style15">
    <w:name w:val="Body Text"/>
    <w:basedOn w:val="Normal"/>
    <w:pPr/>
    <w:rPr/>
  </w:style>
  <w:style w:type="paragraph" w:styleId="Style16">
    <w:name w:val="List"/>
    <w:basedOn w:val="Style15"/>
    <w:pPr/>
    <w:rPr>
      <w:rFonts w:ascii="Arial" w:hAnsi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Title"/>
    <w:basedOn w:val="Normal"/>
    <w:qFormat/>
    <w:pPr>
      <w:keepNext w:val="true"/>
      <w:spacing w:before="240" w:after="120"/>
    </w:pPr>
    <w:rPr>
      <w:rFonts w:ascii="Arial" w:hAnsi="Arial"/>
      <w:szCs w:val="28"/>
    </w:rPr>
  </w:style>
  <w:style w:type="paragraph" w:styleId="Style20">
    <w:name w:val="Subtitle"/>
    <w:basedOn w:val="Style19"/>
    <w:qFormat/>
    <w:pPr>
      <w:jc w:val="center"/>
    </w:pPr>
    <w:rPr>
      <w:i/>
      <w:iCs/>
    </w:rPr>
  </w:style>
  <w:style w:type="paragraph" w:styleId="Caption">
    <w:name w:val="caption"/>
    <w:basedOn w:val="Normal"/>
    <w:qFormat/>
    <w:pPr>
      <w:suppressLineNumbers/>
      <w:spacing w:before="0" w:after="119"/>
    </w:pPr>
    <w:rPr>
      <w:iCs/>
    </w:rPr>
  </w:style>
  <w:style w:type="paragraph" w:styleId="Indexheading">
    <w:name w:val="index heading"/>
    <w:basedOn w:val="Normal"/>
    <w:qFormat/>
    <w:pPr>
      <w:suppressLineNumbers/>
    </w:pPr>
    <w:rPr>
      <w:rFonts w:ascii="Arial" w:hAnsi="Arial"/>
    </w:rPr>
  </w:style>
  <w:style w:type="paragraph" w:styleId="Style21">
    <w:name w:val="Header"/>
    <w:basedOn w:val="Normal"/>
    <w:pPr>
      <w:suppressLineNumbers/>
      <w:tabs>
        <w:tab w:val="center" w:pos="5102" w:leader="none"/>
        <w:tab w:val="right" w:pos="10205" w:leader="none"/>
      </w:tabs>
    </w:pPr>
    <w:rPr/>
  </w:style>
  <w:style w:type="paragraph" w:styleId="Style22" w:customStyle="1">
    <w:name w:val="Верхний колонтитул справа"/>
    <w:basedOn w:val="Normal"/>
    <w:qFormat/>
    <w:pPr>
      <w:suppressLineNumbers/>
      <w:tabs>
        <w:tab w:val="center" w:pos="5102" w:leader="none"/>
        <w:tab w:val="right" w:pos="10205" w:leader="none"/>
      </w:tabs>
    </w:pPr>
    <w:rPr/>
  </w:style>
  <w:style w:type="paragraph" w:styleId="Style23" w:customStyle="1">
    <w:name w:val="Верхний колонтитул слева"/>
    <w:basedOn w:val="Normal"/>
    <w:qFormat/>
    <w:pPr>
      <w:suppressLineNumbers/>
      <w:tabs>
        <w:tab w:val="center" w:pos="5102" w:leader="none"/>
        <w:tab w:val="right" w:pos="10205" w:leader="none"/>
      </w:tabs>
    </w:pPr>
    <w:rPr/>
  </w:style>
  <w:style w:type="paragraph" w:styleId="Style24" w:customStyle="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25">
    <w:name w:val="Body Text Indent"/>
    <w:basedOn w:val="Style15"/>
    <w:pPr>
      <w:ind w:left="283" w:hanging="0"/>
    </w:pPr>
    <w:rPr/>
  </w:style>
  <w:style w:type="paragraph" w:styleId="BodyTextIndent">
    <w:name w:val="Body Text Indent"/>
    <w:basedOn w:val="Style15"/>
    <w:qFormat/>
    <w:pPr>
      <w:ind w:firstLine="709"/>
    </w:pPr>
    <w:rPr/>
  </w:style>
  <w:style w:type="paragraph" w:styleId="Style26" w:customStyle="1">
    <w:name w:val="Таблица"/>
    <w:basedOn w:val="Caption"/>
    <w:qFormat/>
    <w:pPr/>
    <w:rPr/>
  </w:style>
  <w:style w:type="paragraph" w:styleId="PlainText">
    <w:name w:val="Plain Text"/>
    <w:basedOn w:val="Caption"/>
    <w:qFormat/>
    <w:pPr/>
    <w:rPr/>
  </w:style>
  <w:style w:type="paragraph" w:styleId="Style27" w:customStyle="1">
    <w:name w:val="Содержимое таблицы"/>
    <w:basedOn w:val="Normal"/>
    <w:qFormat/>
    <w:pPr>
      <w:suppressLineNumbers/>
    </w:pPr>
    <w:rPr/>
  </w:style>
  <w:style w:type="paragraph" w:styleId="Style28" w:customStyle="1">
    <w:name w:val="Текст шапки"/>
    <w:basedOn w:val="Style15"/>
    <w:qFormat/>
    <w:pPr>
      <w:jc w:val="center"/>
    </w:pPr>
    <w:rPr>
      <w:b/>
      <w:bCs/>
      <w:sz w:val="30"/>
      <w:szCs w:val="30"/>
    </w:rPr>
  </w:style>
  <w:style w:type="paragraph" w:styleId="Style29" w:customStyle="1">
    <w:name w:val="Подпись_дол+ФИО"/>
    <w:basedOn w:val="Style15"/>
    <w:qFormat/>
    <w:pPr>
      <w:tabs>
        <w:tab w:val="right" w:pos="10035" w:leader="none"/>
      </w:tabs>
      <w:jc w:val="left"/>
    </w:pPr>
    <w:rPr/>
  </w:style>
  <w:style w:type="paragraph" w:styleId="Style30" w:customStyle="1">
    <w:name w:val="Содержимое врезки"/>
    <w:basedOn w:val="Style15"/>
    <w:qFormat/>
    <w:pPr/>
    <w:rPr/>
  </w:style>
  <w:style w:type="paragraph" w:styleId="Style31">
    <w:name w:val="Signature"/>
    <w:basedOn w:val="Style15"/>
    <w:pPr>
      <w:suppressLineNumbers/>
    </w:pPr>
    <w:rPr/>
  </w:style>
  <w:style w:type="paragraph" w:styleId="Style32" w:customStyle="1">
    <w:name w:val="ПодписьСогл_дол+ФИО"/>
    <w:basedOn w:val="Style29"/>
    <w:qFormat/>
    <w:pPr/>
    <w:rPr>
      <w:sz w:val="24"/>
    </w:rPr>
  </w:style>
  <w:style w:type="paragraph" w:styleId="Style33" w:customStyle="1">
    <w:name w:val="Текст в заданном формате"/>
    <w:basedOn w:val="Normal"/>
    <w:qFormat/>
    <w:pPr/>
    <w:rPr>
      <w:rFonts w:ascii="Courier New" w:hAnsi="Courier New" w:eastAsia="Courier New" w:cs="Courier New"/>
      <w:sz w:val="20"/>
      <w:szCs w:val="20"/>
    </w:rPr>
  </w:style>
  <w:style w:type="paragraph" w:styleId="ConsPlusNonformat" w:customStyle="1">
    <w:name w:val="ConsPlusNonformat"/>
    <w:qFormat/>
    <w:rsid w:val="00513f63"/>
    <w:pPr>
      <w:widowControl w:val="false"/>
      <w:bidi w:val="0"/>
      <w:jc w:val="left"/>
    </w:pPr>
    <w:rPr>
      <w:rFonts w:ascii="Courier New" w:hAnsi="Courier New" w:eastAsia="Times New Roman" w:cs="Courier New"/>
      <w:color w:val="auto"/>
      <w:kern w:val="0"/>
      <w:sz w:val="28"/>
      <w:szCs w:val="20"/>
      <w:lang w:eastAsia="ru-RU" w:bidi="ar-SA" w:val="ru-RU"/>
    </w:rPr>
  </w:style>
  <w:style w:type="paragraph" w:styleId="Western" w:customStyle="1">
    <w:name w:val="western"/>
    <w:basedOn w:val="Normal"/>
    <w:qFormat/>
    <w:rsid w:val="003c0074"/>
    <w:pPr>
      <w:widowControl/>
      <w:spacing w:beforeAutospacing="1" w:after="0"/>
    </w:pPr>
    <w:rPr>
      <w:rFonts w:eastAsia="Times New Roman" w:cs="Times New Roman"/>
      <w:kern w:val="0"/>
      <w:szCs w:val="28"/>
      <w:lang w:eastAsia="ru-RU" w:bidi="ar-SA"/>
    </w:rPr>
  </w:style>
  <w:style w:type="paragraph" w:styleId="Western1" w:customStyle="1">
    <w:name w:val="первая-строка-с-отступом-western"/>
    <w:basedOn w:val="Normal"/>
    <w:qFormat/>
    <w:rsid w:val="003c0074"/>
    <w:pPr>
      <w:widowControl/>
      <w:spacing w:beforeAutospacing="1" w:after="0"/>
      <w:ind w:firstLine="709"/>
    </w:pPr>
    <w:rPr>
      <w:rFonts w:eastAsia="Times New Roman" w:cs="Times New Roman"/>
      <w:kern w:val="0"/>
      <w:szCs w:val="28"/>
      <w:lang w:eastAsia="ru-RU" w:bidi="ar-SA"/>
    </w:rPr>
  </w:style>
  <w:style w:type="paragraph" w:styleId="Style34" w:customStyle="1">
    <w:name w:val="подписьсогл-дол+фио"/>
    <w:basedOn w:val="Normal"/>
    <w:qFormat/>
    <w:rsid w:val="00964719"/>
    <w:pPr>
      <w:widowControl/>
      <w:spacing w:beforeAutospacing="1" w:after="0"/>
    </w:pPr>
    <w:rPr>
      <w:rFonts w:eastAsia="Times New Roman" w:cs="Times New Roman"/>
      <w:kern w:val="0"/>
      <w:sz w:val="24"/>
      <w:lang w:eastAsia="ru-RU" w:bidi="ar-SA"/>
    </w:rPr>
  </w:style>
  <w:style w:type="paragraph" w:styleId="ListParagraph">
    <w:name w:val="List Paragraph"/>
    <w:basedOn w:val="Normal"/>
    <w:uiPriority w:val="34"/>
    <w:qFormat/>
    <w:rsid w:val="00964719"/>
    <w:pPr>
      <w:spacing w:before="0" w:after="0"/>
      <w:ind w:left="720" w:hanging="0"/>
      <w:contextualSpacing/>
    </w:pPr>
    <w:rPr/>
  </w:style>
  <w:style w:type="paragraph" w:styleId="D1eee4e5f0e6e8eceee5f2e0e1ebe8f6fb" w:customStyle="1">
    <w:name w:val="Сd1оeeдe4еe5рf0жe6иe8мecоeeеe5 тf2аe0бe1лebиe8цf6ыfb"/>
    <w:basedOn w:val="Normal"/>
    <w:uiPriority w:val="99"/>
    <w:qFormat/>
    <w:rsid w:val="00455cf5"/>
    <w:pPr>
      <w:suppressLineNumbers/>
      <w:suppressAutoHyphens w:val="true"/>
      <w:textAlignment w:val="baseline"/>
    </w:pPr>
    <w:rPr>
      <w:rFonts w:eastAsia="" w:cs="Times New Roman" w:eastAsiaTheme="minorEastAsia"/>
      <w:kern w:val="2"/>
      <w:szCs w:val="28"/>
    </w:rPr>
  </w:style>
  <w:style w:type="paragraph" w:styleId="D2e5eaf1f2f8e0efeae8" w:customStyle="1">
    <w:name w:val="Тd2еe5кeaсf1тf2 шf8аe0пefкeaиe8"/>
    <w:basedOn w:val="Normal"/>
    <w:uiPriority w:val="99"/>
    <w:qFormat/>
    <w:rsid w:val="00455cf5"/>
    <w:pPr>
      <w:suppressAutoHyphens w:val="true"/>
      <w:jc w:val="center"/>
      <w:textAlignment w:val="baseline"/>
    </w:pPr>
    <w:rPr>
      <w:rFonts w:eastAsia="" w:cs="Times New Roman" w:eastAsiaTheme="minorEastAsia"/>
      <w:b/>
      <w:bCs/>
      <w:kern w:val="2"/>
      <w:sz w:val="30"/>
      <w:szCs w:val="30"/>
    </w:rPr>
  </w:style>
  <w:style w:type="paragraph" w:styleId="Tablecaption1" w:customStyle="1">
    <w:name w:val="Table caption"/>
    <w:basedOn w:val="Normal"/>
    <w:link w:val="Tablecaption"/>
    <w:uiPriority w:val="99"/>
    <w:qFormat/>
    <w:rsid w:val="00cb7942"/>
    <w:pPr>
      <w:widowControl/>
      <w:shd w:val="clear" w:color="auto" w:fill="FFFFFF"/>
      <w:spacing w:lineRule="atLeast" w:line="240"/>
      <w:jc w:val="left"/>
    </w:pPr>
    <w:rPr>
      <w:rFonts w:cs="Times New Roman"/>
      <w:sz w:val="27"/>
      <w:szCs w:val="27"/>
    </w:rPr>
  </w:style>
  <w:style w:type="paragraph" w:styleId="Bodytext41" w:customStyle="1">
    <w:name w:val="Body text (4)"/>
    <w:basedOn w:val="Normal"/>
    <w:link w:val="Bodytext4"/>
    <w:uiPriority w:val="99"/>
    <w:qFormat/>
    <w:rsid w:val="00cb7942"/>
    <w:pPr>
      <w:widowControl/>
      <w:shd w:val="clear" w:color="auto" w:fill="FFFFFF"/>
      <w:spacing w:lineRule="atLeast" w:line="240"/>
      <w:jc w:val="left"/>
    </w:pPr>
    <w:rPr>
      <w:rFonts w:cs="Times New Roman"/>
      <w:sz w:val="20"/>
      <w:szCs w:val="20"/>
    </w:rPr>
  </w:style>
  <w:style w:type="paragraph" w:styleId="Bodytext31" w:customStyle="1">
    <w:name w:val="Body text (3)"/>
    <w:basedOn w:val="Normal"/>
    <w:link w:val="Bodytext3"/>
    <w:uiPriority w:val="99"/>
    <w:qFormat/>
    <w:rsid w:val="00cb7942"/>
    <w:pPr>
      <w:widowControl/>
      <w:shd w:val="clear" w:color="auto" w:fill="FFFFFF"/>
      <w:spacing w:lineRule="atLeast" w:line="240"/>
    </w:pPr>
    <w:rPr>
      <w:rFonts w:cs="Times New Roman"/>
      <w:sz w:val="8"/>
      <w:szCs w:val="8"/>
    </w:rPr>
  </w:style>
  <w:style w:type="paragraph" w:styleId="Bodytext51" w:customStyle="1">
    <w:name w:val="Body text (5)"/>
    <w:basedOn w:val="Normal"/>
    <w:link w:val="Bodytext5"/>
    <w:uiPriority w:val="99"/>
    <w:qFormat/>
    <w:rsid w:val="00cb7942"/>
    <w:pPr>
      <w:widowControl/>
      <w:shd w:val="clear" w:color="auto" w:fill="FFFFFF"/>
      <w:spacing w:lineRule="atLeast" w:line="240" w:before="60" w:after="60"/>
      <w:jc w:val="left"/>
    </w:pPr>
    <w:rPr>
      <w:rFonts w:cs="Times New Roman"/>
      <w:sz w:val="20"/>
      <w:szCs w:val="20"/>
    </w:rPr>
  </w:style>
  <w:style w:type="paragraph" w:styleId="ConsPlusNormal" w:customStyle="1">
    <w:name w:val="ConsPlusNormal"/>
    <w:qFormat/>
    <w:rsid w:val="002509b7"/>
    <w:pPr>
      <w:widowControl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0"/>
      <w:lang w:eastAsia="ru-RU" w:bidi="ar-SA" w:val="ru-RU"/>
    </w:rPr>
  </w:style>
  <w:style w:type="paragraph" w:styleId="Style35">
    <w:name w:val="Footer"/>
    <w:basedOn w:val="Normal"/>
    <w:link w:val="afc"/>
    <w:uiPriority w:val="99"/>
    <w:unhideWhenUsed/>
    <w:rsid w:val="00d35073"/>
    <w:pPr>
      <w:tabs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Table Grid"/>
    <w:basedOn w:val="a1"/>
    <w:uiPriority w:val="59"/>
    <w:rsid w:val="009a3088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consultantplus://offline/ref=CF7A9DBC073F051F91B463EDF0EF91BC650BDE2478D806A9FD8B410A3B892039A4EAB53E44949F85C1A6053D00C92B81F257B2709452B5s6K" TargetMode="External"/><Relationship Id="rId4" Type="http://schemas.openxmlformats.org/officeDocument/2006/relationships/hyperlink" Target="consultantplus://offline/ref=CF7A9DBC073F051F91B463EDF0EF91BC6701D9277BDF06A9FD8B410A3B892039A4EAB53B4793988E92FC1539499D2E9EFA40AC7B8A515F54BAs5K" TargetMode="External"/><Relationship Id="rId5" Type="http://schemas.openxmlformats.org/officeDocument/2006/relationships/hyperlink" Target="consultantplus://offline/ref=4D3CED06FC548C13287344C4903274152EBB485E3AB4F742973AF68778D33DC24B11683710DC0277494309DB3B568B8C25B8F80032B70E4845SFJ" TargetMode="External"/><Relationship Id="rId6" Type="http://schemas.openxmlformats.org/officeDocument/2006/relationships/hyperlink" Target="consultantplus://offline/ref=4D3CED06FC548C13287344C4903274152EBB485E3AB4F742973AF68778D33DC24B11683710DC0277484309DB3B568B8C25B8F80032B70E4845SFJ" TargetMode="External"/><Relationship Id="rId7" Type="http://schemas.openxmlformats.org/officeDocument/2006/relationships/header" Target="head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F1A0C-B690-4F44-B81B-721522319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Application>LibreOffice/6.0.7.3$Linux_X86_64 LibreOffice_project/00m0$Build-3</Application>
  <Pages>5</Pages>
  <Words>1019</Words>
  <Characters>7177</Characters>
  <CharactersWithSpaces>8164</CharactersWithSpaces>
  <Paragraphs>54</Paragraphs>
  <Company>КонсультантПлюс Версия 4017.00.93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2019-09-18T10:45:00Z</dcterms:created>
  <dc:creator>User</dc:creator>
  <dc:description/>
  <dc:language>ru-RU</dc:language>
  <cp:lastModifiedBy/>
  <cp:lastPrinted>2020-02-26T05:33:00Z</cp:lastPrinted>
  <dcterms:modified xsi:type="dcterms:W3CDTF">2020-04-16T12:45:55Z</dcterms:modified>
  <cp:revision>26</cp:revision>
  <dc:subject/>
  <dc:title>Федеральный закон от 22.07.2008 N 123-ФЗ(ред. от 29.07.2017)"Технический регламент о требованиях пожарной безопасности"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???? 1">
    <vt:lpwstr/>
  </property>
  <property fmtid="{D5CDD505-2E9C-101B-9397-08002B2CF9AE}" pid="3" name="???? 2">
    <vt:lpwstr/>
  </property>
  <property fmtid="{D5CDD505-2E9C-101B-9397-08002B2CF9AE}" pid="4" name="???? 3">
    <vt:lpwstr/>
  </property>
  <property fmtid="{D5CDD505-2E9C-101B-9397-08002B2CF9AE}" pid="5" name="???? 4">
    <vt:lpwstr/>
  </property>
  <property fmtid="{D5CDD505-2E9C-101B-9397-08002B2CF9AE}" pid="6" name="AppVersion">
    <vt:lpwstr>14.0000</vt:lpwstr>
  </property>
  <property fmtid="{D5CDD505-2E9C-101B-9397-08002B2CF9AE}" pid="7" name="Company">
    <vt:lpwstr>КонсультантПлюс Версия 4017.00.93</vt:lpwstr>
  </property>
  <property fmtid="{D5CDD505-2E9C-101B-9397-08002B2CF9AE}" pid="8" name="DocSecurity">
    <vt:i4>0</vt:i4>
  </property>
  <property fmtid="{D5CDD505-2E9C-101B-9397-08002B2CF9AE}" pid="9" name="HyperlinksChanged">
    <vt:bool>0</vt:bool>
  </property>
  <property fmtid="{D5CDD505-2E9C-101B-9397-08002B2CF9AE}" pid="10" name="LinksUpToDate">
    <vt:bool>0</vt:bool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